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4C84D7E"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#11</w:t>
      </w:r>
      <w:r w:rsidR="00265708" w:rsidRPr="00575E71">
        <w:rPr>
          <w:rFonts w:eastAsia="Times New Roman" w:cs="Arial"/>
          <w:noProof w:val="0"/>
          <w:sz w:val="24"/>
          <w:szCs w:val="28"/>
          <w:lang w:eastAsia="x-none"/>
        </w:rPr>
        <w:t>9</w:t>
      </w:r>
      <w:r w:rsidR="00CD00C7" w:rsidRPr="00575E71">
        <w:rPr>
          <w:rFonts w:eastAsia="Times New Roman" w:cs="Arial"/>
          <w:noProof w:val="0"/>
          <w:sz w:val="24"/>
          <w:szCs w:val="28"/>
          <w:lang w:eastAsia="x-none"/>
        </w:rPr>
        <w:t>bis</w:t>
      </w:r>
      <w:r w:rsidR="00FD7B52" w:rsidRPr="00575E71">
        <w:rPr>
          <w:rFonts w:eastAsia="Times New Roman" w:cs="Arial"/>
          <w:noProof w:val="0"/>
          <w:sz w:val="24"/>
          <w:szCs w:val="28"/>
          <w:lang w:eastAsia="x-none"/>
        </w:rPr>
        <w:t>-e</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t>R2-2</w:t>
      </w:r>
      <w:r w:rsidR="00610DAC" w:rsidRPr="00575E71">
        <w:rPr>
          <w:rFonts w:eastAsia="Times New Roman" w:cs="Arial"/>
          <w:noProof w:val="0"/>
          <w:sz w:val="24"/>
          <w:szCs w:val="28"/>
          <w:lang w:eastAsia="x-none"/>
        </w:rPr>
        <w:t>2</w:t>
      </w:r>
      <w:r w:rsidR="00BE09DD" w:rsidRPr="00575E71">
        <w:rPr>
          <w:rFonts w:eastAsia="Times New Roman" w:cs="Arial"/>
          <w:noProof w:val="0"/>
          <w:sz w:val="24"/>
          <w:szCs w:val="28"/>
          <w:lang w:eastAsia="x-none"/>
        </w:rPr>
        <w:t>0</w:t>
      </w:r>
      <w:r w:rsidR="00920D5B">
        <w:rPr>
          <w:rFonts w:eastAsia="Times New Roman" w:cs="Arial"/>
          <w:noProof w:val="0"/>
          <w:sz w:val="24"/>
          <w:szCs w:val="28"/>
          <w:lang w:eastAsia="x-none"/>
        </w:rPr>
        <w:t>9932</w:t>
      </w:r>
    </w:p>
    <w:p w14:paraId="41F9B491" w14:textId="785164ED" w:rsidR="0097167E"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575E71">
        <w:rPr>
          <w:rFonts w:eastAsia="Times New Roman" w:cs="Arial"/>
          <w:noProof w:val="0"/>
          <w:sz w:val="24"/>
          <w:szCs w:val="28"/>
          <w:lang w:eastAsia="x-none"/>
        </w:rPr>
        <w:t xml:space="preserve">Online, </w:t>
      </w:r>
      <w:r w:rsidR="00D6710A" w:rsidRPr="00575E71">
        <w:rPr>
          <w:rFonts w:eastAsia="Times New Roman" w:cs="Arial"/>
          <w:noProof w:val="0"/>
          <w:sz w:val="24"/>
          <w:szCs w:val="28"/>
          <w:lang w:eastAsia="x-none"/>
        </w:rPr>
        <w:t>October</w:t>
      </w:r>
      <w:r w:rsidRPr="00575E71">
        <w:rPr>
          <w:rFonts w:eastAsia="Times New Roman" w:cs="Arial"/>
          <w:noProof w:val="0"/>
          <w:sz w:val="24"/>
          <w:szCs w:val="28"/>
          <w:lang w:eastAsia="x-none"/>
        </w:rPr>
        <w:t xml:space="preserve"> 1</w:t>
      </w:r>
      <w:r w:rsidR="00CD00C7" w:rsidRPr="00575E71">
        <w:rPr>
          <w:rFonts w:eastAsia="Times New Roman" w:cs="Arial"/>
          <w:noProof w:val="0"/>
          <w:sz w:val="24"/>
          <w:szCs w:val="28"/>
          <w:lang w:eastAsia="x-none"/>
        </w:rPr>
        <w:t>0</w:t>
      </w:r>
      <w:r w:rsidRPr="00575E71">
        <w:rPr>
          <w:rFonts w:eastAsia="Times New Roman" w:cs="Arial"/>
          <w:noProof w:val="0"/>
          <w:sz w:val="24"/>
          <w:szCs w:val="28"/>
          <w:lang w:eastAsia="x-none"/>
        </w:rPr>
        <w:t>-</w:t>
      </w:r>
      <w:r w:rsidR="00CD00C7" w:rsidRPr="00575E71">
        <w:rPr>
          <w:rFonts w:eastAsia="Times New Roman" w:cs="Arial"/>
          <w:noProof w:val="0"/>
          <w:sz w:val="24"/>
          <w:szCs w:val="28"/>
          <w:lang w:eastAsia="x-none"/>
        </w:rPr>
        <w:t>1</w:t>
      </w:r>
      <w:r w:rsidR="008E4B69" w:rsidRPr="00575E71">
        <w:rPr>
          <w:rFonts w:eastAsia="Times New Roman" w:cs="Arial"/>
          <w:noProof w:val="0"/>
          <w:sz w:val="24"/>
          <w:szCs w:val="28"/>
          <w:lang w:eastAsia="x-none"/>
        </w:rPr>
        <w:t>9</w:t>
      </w:r>
      <w:r w:rsidRPr="00575E71">
        <w:rPr>
          <w:rFonts w:eastAsia="Times New Roman" w:cs="Arial"/>
          <w:noProof w:val="0"/>
          <w:sz w:val="24"/>
          <w:szCs w:val="28"/>
          <w:lang w:eastAsia="x-none"/>
        </w:rPr>
        <w:t>, 2022</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1F8A00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EB095B">
        <w:rPr>
          <w:rFonts w:ascii="Arial" w:hAnsi="Arial" w:cs="Arial"/>
          <w:szCs w:val="24"/>
        </w:rPr>
        <w:t>2.4</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4141CBB3"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DA301B" w:rsidRPr="00DA301B">
        <w:rPr>
          <w:b/>
          <w:sz w:val="24"/>
          <w:lang w:val="en-GB"/>
        </w:rPr>
        <w:t>RAN2 Aspects of L1 Enhancements</w:t>
      </w:r>
      <w:r w:rsidR="00B36FC6">
        <w:rPr>
          <w:b/>
          <w:sz w:val="24"/>
          <w:lang w:val="en-GB"/>
        </w:rPr>
        <w:t xml:space="preserve"> for </w:t>
      </w:r>
      <w:r w:rsidR="00B36FC6" w:rsidRPr="00B36FC6">
        <w:rPr>
          <w:b/>
          <w:sz w:val="24"/>
          <w:lang w:val="en-GB"/>
        </w:rPr>
        <w:t>L1/L2</w:t>
      </w:r>
      <w:r w:rsidR="00391CB9">
        <w:rPr>
          <w:b/>
          <w:sz w:val="24"/>
          <w:lang w:val="en-GB"/>
        </w:rPr>
        <w:t>-</w:t>
      </w:r>
      <w:r w:rsidR="00B36FC6" w:rsidRPr="00B36FC6">
        <w:rPr>
          <w:b/>
          <w:sz w:val="24"/>
          <w:lang w:val="en-GB"/>
        </w:rPr>
        <w:t xml:space="preserve">based </w:t>
      </w:r>
      <w:r w:rsidR="00391CB9">
        <w:rPr>
          <w:b/>
          <w:sz w:val="24"/>
          <w:lang w:val="en-GB"/>
        </w:rPr>
        <w:t>I</w:t>
      </w:r>
      <w:r w:rsidR="00B36FC6" w:rsidRPr="00B36FC6">
        <w:rPr>
          <w:b/>
          <w:sz w:val="24"/>
          <w:lang w:val="en-GB"/>
        </w:rPr>
        <w:t xml:space="preserve">nter-cell </w:t>
      </w:r>
      <w:r w:rsidR="00391CB9">
        <w:rPr>
          <w:b/>
          <w:sz w:val="24"/>
          <w:lang w:val="en-GB"/>
        </w:rPr>
        <w:t>M</w:t>
      </w:r>
      <w:r w:rsidR="00B36FC6" w:rsidRPr="00B36FC6">
        <w:rPr>
          <w:b/>
          <w:sz w:val="24"/>
          <w:lang w:val="en-GB"/>
        </w:rPr>
        <w:t>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新細明體" w:cs="Arial"/>
        </w:rPr>
      </w:pPr>
      <w:r w:rsidRPr="00575E71">
        <w:rPr>
          <w:rFonts w:eastAsia="新細明體" w:cs="Arial"/>
        </w:rPr>
        <w:t>Introduction</w:t>
      </w:r>
      <w:bookmarkStart w:id="2" w:name="OLE_LINK39"/>
      <w:bookmarkStart w:id="3" w:name="OLE_LINK38"/>
      <w:bookmarkStart w:id="4" w:name="OLE_LINK37"/>
    </w:p>
    <w:bookmarkEnd w:id="2"/>
    <w:bookmarkEnd w:id="3"/>
    <w:bookmarkEnd w:id="4"/>
    <w:p w14:paraId="118A0A31" w14:textId="5D0300EC" w:rsidR="00DA301B" w:rsidRDefault="00DA301B" w:rsidP="000F751E">
      <w:pPr>
        <w:spacing w:before="120" w:after="120"/>
        <w:jc w:val="both"/>
        <w:rPr>
          <w:rFonts w:ascii="Arial" w:hAnsi="Arial" w:cs="Arial"/>
          <w:sz w:val="20"/>
          <w:szCs w:val="20"/>
          <w:lang w:val="en-GB"/>
        </w:rPr>
      </w:pPr>
      <w:r>
        <w:rPr>
          <w:rFonts w:ascii="Arial" w:hAnsi="Arial" w:cs="Arial"/>
          <w:sz w:val="20"/>
          <w:szCs w:val="20"/>
          <w:lang w:val="en-GB"/>
        </w:rPr>
        <w:t xml:space="preserve">In </w:t>
      </w:r>
      <w:r w:rsidR="0015266C">
        <w:rPr>
          <w:rFonts w:ascii="Arial" w:hAnsi="Arial" w:cs="Arial"/>
          <w:sz w:val="20"/>
          <w:szCs w:val="20"/>
          <w:lang w:val="en-GB"/>
        </w:rPr>
        <w:t>the Objective for</w:t>
      </w:r>
      <w:r w:rsidR="00B36FC6" w:rsidRPr="00B36FC6">
        <w:t xml:space="preserve"> </w:t>
      </w:r>
      <w:r w:rsidR="00B36FC6" w:rsidRPr="00B36FC6">
        <w:rPr>
          <w:rFonts w:ascii="Arial" w:hAnsi="Arial" w:cs="Arial"/>
          <w:sz w:val="20"/>
          <w:szCs w:val="20"/>
          <w:lang w:val="en-GB"/>
        </w:rPr>
        <w:t>L1/L2 based inter-cell mobility</w:t>
      </w:r>
      <w:r w:rsidR="0015266C">
        <w:rPr>
          <w:rFonts w:ascii="Arial" w:hAnsi="Arial" w:cs="Arial"/>
          <w:sz w:val="20"/>
          <w:szCs w:val="20"/>
          <w:lang w:val="en-GB"/>
        </w:rPr>
        <w:t xml:space="preserve"> </w:t>
      </w:r>
      <w:r w:rsidR="009C0EAB">
        <w:rPr>
          <w:rFonts w:ascii="Arial" w:hAnsi="Arial" w:cs="Arial"/>
          <w:sz w:val="20"/>
          <w:szCs w:val="20"/>
          <w:lang w:val="en-GB"/>
        </w:rPr>
        <w:t>[1]</w:t>
      </w:r>
      <w:r>
        <w:rPr>
          <w:rFonts w:ascii="Arial" w:hAnsi="Arial" w:cs="Arial"/>
          <w:sz w:val="20"/>
          <w:szCs w:val="20"/>
          <w:lang w:val="en-GB"/>
        </w:rPr>
        <w:t xml:space="preserve">, </w:t>
      </w:r>
      <w:r w:rsidR="00B36FC6">
        <w:rPr>
          <w:rFonts w:ascii="Arial" w:hAnsi="Arial" w:cs="Arial"/>
          <w:sz w:val="20"/>
          <w:szCs w:val="20"/>
          <w:lang w:val="en-GB"/>
        </w:rPr>
        <w:t xml:space="preserve">we have the following </w:t>
      </w:r>
      <w:r w:rsidR="009F7202">
        <w:rPr>
          <w:rFonts w:ascii="Arial" w:hAnsi="Arial" w:cs="Arial"/>
          <w:sz w:val="20"/>
          <w:szCs w:val="20"/>
          <w:lang w:val="en-GB"/>
        </w:rPr>
        <w:t xml:space="preserve">bullets that involve both </w:t>
      </w:r>
      <w:r w:rsidR="007615E0">
        <w:rPr>
          <w:rFonts w:ascii="Arial" w:hAnsi="Arial" w:cs="Arial"/>
          <w:sz w:val="20"/>
          <w:szCs w:val="20"/>
          <w:lang w:val="en-GB"/>
        </w:rPr>
        <w:t>RAN1 and RAN2 works.</w:t>
      </w:r>
    </w:p>
    <w:tbl>
      <w:tblPr>
        <w:tblStyle w:val="TableGrid"/>
        <w:tblW w:w="0" w:type="auto"/>
        <w:tblLook w:val="04A0" w:firstRow="1" w:lastRow="0" w:firstColumn="1" w:lastColumn="0" w:noHBand="0" w:noVBand="1"/>
      </w:tblPr>
      <w:tblGrid>
        <w:gridCol w:w="9629"/>
      </w:tblGrid>
      <w:tr w:rsidR="00DA301B" w14:paraId="2CF16B94" w14:textId="77777777" w:rsidTr="001526BE">
        <w:tc>
          <w:tcPr>
            <w:tcW w:w="9629" w:type="dxa"/>
          </w:tcPr>
          <w:p w14:paraId="5DFC019D" w14:textId="77777777" w:rsidR="00DA301B" w:rsidRPr="001655B2" w:rsidRDefault="00DA301B" w:rsidP="001526BE">
            <w:pPr>
              <w:numPr>
                <w:ilvl w:val="0"/>
                <w:numId w:val="38"/>
              </w:numPr>
              <w:overflowPunct w:val="0"/>
              <w:autoSpaceDE w:val="0"/>
              <w:autoSpaceDN w:val="0"/>
              <w:adjustRightInd w:val="0"/>
              <w:spacing w:after="120"/>
              <w:jc w:val="both"/>
              <w:textAlignment w:val="baseline"/>
              <w:rPr>
                <w:rFonts w:ascii="Times New Roman" w:eastAsia="新細明體" w:hAnsi="Times New Roman"/>
                <w:bCs/>
                <w:sz w:val="20"/>
                <w:szCs w:val="20"/>
                <w:lang w:eastAsia="en-GB"/>
              </w:rPr>
            </w:pPr>
            <w:r w:rsidRPr="001655B2">
              <w:rPr>
                <w:rFonts w:ascii="Times New Roman" w:eastAsia="新細明體" w:hAnsi="Times New Roman"/>
                <w:bCs/>
                <w:sz w:val="20"/>
                <w:szCs w:val="20"/>
                <w:lang w:eastAsia="en-GB"/>
              </w:rPr>
              <w:t xml:space="preserve">To specify mechanism and procedures of </w:t>
            </w:r>
            <w:r w:rsidRPr="001655B2">
              <w:rPr>
                <w:rFonts w:ascii="Times New Roman" w:eastAsia="新細明體" w:hAnsi="Times New Roman" w:hint="eastAsia"/>
                <w:bCs/>
                <w:sz w:val="20"/>
                <w:szCs w:val="20"/>
                <w:lang w:eastAsia="en-GB"/>
              </w:rPr>
              <w:t>L</w:t>
            </w:r>
            <w:r w:rsidRPr="001655B2">
              <w:rPr>
                <w:rFonts w:ascii="Times New Roman" w:eastAsia="新細明體" w:hAnsi="Times New Roman"/>
                <w:bCs/>
                <w:sz w:val="20"/>
                <w:szCs w:val="20"/>
                <w:lang w:eastAsia="en-GB"/>
              </w:rPr>
              <w:t>1/L2 based inter-cell mobility for mobility latency reduction:</w:t>
            </w:r>
          </w:p>
          <w:p w14:paraId="27D6D0FC" w14:textId="10898CFF" w:rsidR="00DA301B" w:rsidRPr="001655B2" w:rsidRDefault="00DA301B" w:rsidP="00DA301B">
            <w:pPr>
              <w:overflowPunct w:val="0"/>
              <w:autoSpaceDE w:val="0"/>
              <w:autoSpaceDN w:val="0"/>
              <w:adjustRightInd w:val="0"/>
              <w:spacing w:after="120"/>
              <w:ind w:left="1140"/>
              <w:jc w:val="both"/>
              <w:textAlignment w:val="baseline"/>
              <w:rPr>
                <w:rFonts w:ascii="Times New Roman" w:eastAsia="新細明體" w:hAnsi="Times New Roman"/>
                <w:bCs/>
                <w:sz w:val="20"/>
                <w:szCs w:val="20"/>
                <w:lang w:eastAsia="en-GB"/>
              </w:rPr>
            </w:pPr>
            <w:r>
              <w:rPr>
                <w:rFonts w:ascii="Times New Roman" w:eastAsia="新細明體" w:hAnsi="Times New Roman"/>
                <w:bCs/>
                <w:sz w:val="20"/>
                <w:szCs w:val="20"/>
                <w:lang w:eastAsia="en-GB"/>
              </w:rPr>
              <w:t>…</w:t>
            </w:r>
          </w:p>
          <w:p w14:paraId="771C0B11" w14:textId="77777777" w:rsidR="00DA301B" w:rsidRPr="001655B2" w:rsidRDefault="00DA301B" w:rsidP="001526BE">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eastAsia="en-GB"/>
              </w:rPr>
            </w:pPr>
            <w:r w:rsidRPr="001655B2">
              <w:rPr>
                <w:rFonts w:ascii="Times New Roman" w:eastAsia="新細明體" w:hAnsi="Times New Roman"/>
                <w:bCs/>
                <w:sz w:val="20"/>
                <w:szCs w:val="20"/>
                <w:lang w:eastAsia="en-GB"/>
              </w:rPr>
              <w:t>Dynamic switch mechanism among candidate serving cells (including SpCell and SCell) for the potential applicable scenarios based on L1</w:t>
            </w:r>
            <w:r w:rsidRPr="001655B2">
              <w:rPr>
                <w:rFonts w:ascii="Times New Roman" w:eastAsia="新細明體" w:hAnsi="Times New Roman" w:hint="eastAsia"/>
                <w:bCs/>
                <w:sz w:val="20"/>
                <w:szCs w:val="20"/>
                <w:lang w:eastAsia="en-GB"/>
              </w:rPr>
              <w:t>/</w:t>
            </w:r>
            <w:r w:rsidRPr="001655B2">
              <w:rPr>
                <w:rFonts w:ascii="Times New Roman" w:eastAsia="新細明體" w:hAnsi="Times New Roman"/>
                <w:bCs/>
                <w:sz w:val="20"/>
                <w:szCs w:val="20"/>
                <w:lang w:eastAsia="en-GB"/>
              </w:rPr>
              <w:t>L2 signalling [RAN2, RAN1]</w:t>
            </w:r>
          </w:p>
          <w:p w14:paraId="09E17BDF" w14:textId="77777777" w:rsidR="00DA301B" w:rsidRPr="001655B2" w:rsidRDefault="00DA301B" w:rsidP="001526BE">
            <w:pPr>
              <w:numPr>
                <w:ilvl w:val="0"/>
                <w:numId w:val="39"/>
              </w:numPr>
              <w:overflowPunct w:val="0"/>
              <w:autoSpaceDE w:val="0"/>
              <w:autoSpaceDN w:val="0"/>
              <w:adjustRightInd w:val="0"/>
              <w:spacing w:after="120"/>
              <w:jc w:val="both"/>
              <w:textAlignment w:val="baseline"/>
              <w:rPr>
                <w:rFonts w:ascii="Times New Roman" w:eastAsia="新細明體" w:hAnsi="Times New Roman"/>
                <w:bCs/>
                <w:sz w:val="20"/>
                <w:szCs w:val="20"/>
                <w:lang w:eastAsia="en-GB"/>
              </w:rPr>
            </w:pPr>
            <w:r w:rsidRPr="001655B2">
              <w:rPr>
                <w:rFonts w:ascii="Times New Roman" w:eastAsia="新細明體" w:hAnsi="Times New Roman"/>
                <w:bCs/>
                <w:sz w:val="20"/>
                <w:szCs w:val="20"/>
                <w:lang w:eastAsia="en-GB"/>
              </w:rPr>
              <w:t xml:space="preserve">L1 enhancements for inter-cell beam management, including </w:t>
            </w:r>
            <w:r w:rsidRPr="001655B2">
              <w:rPr>
                <w:rFonts w:ascii="Times New Roman" w:eastAsia="新細明體" w:hAnsi="Times New Roman" w:hint="eastAsia"/>
                <w:bCs/>
                <w:sz w:val="20"/>
                <w:szCs w:val="20"/>
                <w:lang w:eastAsia="en-GB"/>
              </w:rPr>
              <w:t>L</w:t>
            </w:r>
            <w:r w:rsidRPr="001655B2">
              <w:rPr>
                <w:rFonts w:ascii="Times New Roman" w:eastAsia="新細明體" w:hAnsi="Times New Roman"/>
                <w:bCs/>
                <w:sz w:val="20"/>
                <w:szCs w:val="20"/>
                <w:lang w:eastAsia="en-GB"/>
              </w:rPr>
              <w:t>1 measurement and reporting, and beam indication [RAN1, RAN2]</w:t>
            </w:r>
          </w:p>
          <w:p w14:paraId="2A59D4AF" w14:textId="77777777" w:rsidR="00DA301B" w:rsidRPr="001655B2" w:rsidRDefault="00DA301B" w:rsidP="001526BE">
            <w:pPr>
              <w:numPr>
                <w:ilvl w:val="1"/>
                <w:numId w:val="39"/>
              </w:numPr>
              <w:overflowPunct w:val="0"/>
              <w:autoSpaceDE w:val="0"/>
              <w:autoSpaceDN w:val="0"/>
              <w:adjustRightInd w:val="0"/>
              <w:spacing w:after="120"/>
              <w:jc w:val="both"/>
              <w:textAlignment w:val="baseline"/>
              <w:rPr>
                <w:rFonts w:ascii="Times New Roman" w:eastAsia="新細明體" w:hAnsi="Times New Roman"/>
                <w:bCs/>
                <w:i/>
                <w:sz w:val="20"/>
                <w:szCs w:val="20"/>
                <w:lang w:eastAsia="en-GB"/>
              </w:rPr>
            </w:pPr>
            <w:r w:rsidRPr="001655B2">
              <w:rPr>
                <w:rFonts w:ascii="Times New Roman" w:eastAsia="新細明體" w:hAnsi="Times New Roman"/>
                <w:bCs/>
                <w:i/>
                <w:sz w:val="20"/>
                <w:szCs w:val="20"/>
                <w:lang w:eastAsia="en-GB"/>
              </w:rPr>
              <w:t>Note 1: Early RAN2 involvement is necessary, including the possibility of further clarifying the interaction between this bullet with the previous bullet</w:t>
            </w:r>
          </w:p>
          <w:p w14:paraId="1744294F" w14:textId="0A27632E" w:rsidR="00DA301B" w:rsidRPr="00C02E02" w:rsidRDefault="00C02E02" w:rsidP="00C02E02">
            <w:pPr>
              <w:numPr>
                <w:ilvl w:val="0"/>
                <w:numId w:val="39"/>
              </w:numPr>
              <w:overflowPunct w:val="0"/>
              <w:autoSpaceDE w:val="0"/>
              <w:autoSpaceDN w:val="0"/>
              <w:adjustRightInd w:val="0"/>
              <w:spacing w:after="120"/>
              <w:jc w:val="both"/>
              <w:textAlignment w:val="baseline"/>
              <w:rPr>
                <w:bCs/>
              </w:rPr>
            </w:pPr>
            <w:r w:rsidRPr="00C02E02">
              <w:rPr>
                <w:rFonts w:ascii="Times New Roman" w:eastAsia="新細明體" w:hAnsi="Times New Roman"/>
                <w:bCs/>
                <w:sz w:val="20"/>
                <w:szCs w:val="20"/>
                <w:lang w:eastAsia="en-GB"/>
              </w:rPr>
              <w:t>Timing Advance management [RAN1, RAN2]</w:t>
            </w:r>
          </w:p>
        </w:tc>
      </w:tr>
    </w:tbl>
    <w:p w14:paraId="7035181F" w14:textId="69FD25C8" w:rsidR="00846530" w:rsidRPr="00575E71" w:rsidRDefault="005111DB" w:rsidP="000F751E">
      <w:pPr>
        <w:spacing w:before="120" w:after="120"/>
        <w:jc w:val="both"/>
        <w:rPr>
          <w:rFonts w:ascii="Arial" w:hAnsi="Arial" w:cs="Arial"/>
          <w:sz w:val="20"/>
          <w:szCs w:val="20"/>
          <w:lang w:val="en-GB"/>
        </w:rPr>
      </w:pPr>
      <w:r w:rsidRPr="00575E71">
        <w:rPr>
          <w:rFonts w:ascii="Arial" w:hAnsi="Arial" w:cs="Arial"/>
          <w:sz w:val="20"/>
          <w:szCs w:val="20"/>
          <w:lang w:val="en-GB"/>
        </w:rPr>
        <w:t xml:space="preserve">In this contribution, we discuss </w:t>
      </w:r>
      <w:r w:rsidR="00A21E43">
        <w:rPr>
          <w:rFonts w:ascii="Arial" w:hAnsi="Arial" w:cs="Arial"/>
          <w:sz w:val="20"/>
          <w:szCs w:val="20"/>
          <w:lang w:val="en-GB"/>
        </w:rPr>
        <w:t xml:space="preserve">L1 enhancements </w:t>
      </w:r>
      <w:r w:rsidR="007615E0">
        <w:rPr>
          <w:rFonts w:ascii="Arial" w:hAnsi="Arial" w:cs="Arial"/>
          <w:sz w:val="20"/>
          <w:szCs w:val="20"/>
          <w:lang w:val="en-GB"/>
        </w:rPr>
        <w:t>from RAN2 aspects</w:t>
      </w:r>
      <w:r w:rsidR="007E46BA">
        <w:rPr>
          <w:rFonts w:ascii="Arial" w:hAnsi="Arial" w:cs="Arial"/>
          <w:sz w:val="20"/>
          <w:szCs w:val="20"/>
          <w:lang w:val="en-GB"/>
        </w:rPr>
        <w:t>.</w:t>
      </w:r>
      <w:r w:rsidR="009C25BE">
        <w:rPr>
          <w:rFonts w:ascii="Arial" w:hAnsi="Arial" w:cs="Arial"/>
          <w:sz w:val="20"/>
          <w:szCs w:val="20"/>
          <w:lang w:val="en-GB"/>
        </w:rPr>
        <w:t xml:space="preserve"> The main purpose is to </w:t>
      </w:r>
      <w:r w:rsidR="00EB396D">
        <w:rPr>
          <w:rFonts w:ascii="Arial" w:hAnsi="Arial" w:cs="Arial"/>
          <w:sz w:val="20"/>
          <w:szCs w:val="20"/>
          <w:lang w:val="en-GB"/>
        </w:rPr>
        <w:t>identify necessary RAN2 involvements for RAN1 to proceed.</w:t>
      </w:r>
    </w:p>
    <w:p w14:paraId="1FB7191B" w14:textId="1A237F5C" w:rsidR="006967A9" w:rsidRPr="00575E71" w:rsidRDefault="00CF75E9" w:rsidP="00675D8B">
      <w:pPr>
        <w:pStyle w:val="Heading1"/>
        <w:overflowPunct w:val="0"/>
        <w:autoSpaceDE w:val="0"/>
        <w:autoSpaceDN w:val="0"/>
        <w:adjustRightInd w:val="0"/>
        <w:spacing w:before="0" w:after="120"/>
        <w:rPr>
          <w:rFonts w:eastAsia="新細明體" w:cs="Arial"/>
        </w:rPr>
      </w:pPr>
      <w:r w:rsidRPr="00575E71">
        <w:rPr>
          <w:rFonts w:eastAsia="新細明體" w:cs="Arial"/>
        </w:rPr>
        <w:t>Discussion</w:t>
      </w:r>
    </w:p>
    <w:p w14:paraId="7D1CE4ED" w14:textId="281A1051" w:rsidR="00AE08AE" w:rsidRPr="00096039" w:rsidRDefault="00096039" w:rsidP="00096039">
      <w:pPr>
        <w:pStyle w:val="Heading2"/>
        <w:rPr>
          <w:rFonts w:cs="Arial"/>
        </w:rPr>
      </w:pPr>
      <w:r>
        <w:rPr>
          <w:rFonts w:cs="Arial"/>
        </w:rPr>
        <w:t>L1</w:t>
      </w:r>
      <w:r w:rsidR="00693EB1">
        <w:rPr>
          <w:rFonts w:cs="Arial"/>
        </w:rPr>
        <w:t xml:space="preserve"> measurement and </w:t>
      </w:r>
      <w:r w:rsidR="00A36B00">
        <w:rPr>
          <w:rFonts w:cs="Arial"/>
        </w:rPr>
        <w:t>reporting</w:t>
      </w:r>
    </w:p>
    <w:p w14:paraId="7765006C" w14:textId="64E54E1D" w:rsidR="004A103C" w:rsidRDefault="007F3CFB" w:rsidP="004A103C">
      <w:pPr>
        <w:spacing w:before="120" w:after="120"/>
        <w:jc w:val="both"/>
        <w:rPr>
          <w:rFonts w:ascii="Arial" w:hAnsi="Arial" w:cs="Arial"/>
          <w:sz w:val="20"/>
          <w:szCs w:val="20"/>
          <w:lang w:val="en-GB"/>
        </w:rPr>
      </w:pPr>
      <w:r>
        <w:rPr>
          <w:rFonts w:ascii="Arial" w:hAnsi="Arial" w:cs="Arial"/>
          <w:sz w:val="20"/>
          <w:szCs w:val="20"/>
          <w:lang w:val="en-GB"/>
        </w:rPr>
        <w:t>The bullet of “</w:t>
      </w:r>
      <w:r w:rsidRPr="007F3CFB">
        <w:rPr>
          <w:rFonts w:ascii="Arial" w:hAnsi="Arial" w:cs="Arial"/>
          <w:sz w:val="20"/>
          <w:szCs w:val="20"/>
          <w:lang w:val="en-GB"/>
        </w:rPr>
        <w:t>L1 enhancements for inter-cell beam management</w:t>
      </w:r>
      <w:r>
        <w:rPr>
          <w:rFonts w:ascii="Arial" w:hAnsi="Arial" w:cs="Arial"/>
          <w:sz w:val="20"/>
          <w:szCs w:val="20"/>
          <w:lang w:val="en-GB"/>
        </w:rPr>
        <w:t>” is RAN1-led with RAN2 involvement. We start from the “</w:t>
      </w:r>
      <w:r w:rsidRPr="007F3CFB">
        <w:rPr>
          <w:rFonts w:ascii="Arial" w:hAnsi="Arial" w:cs="Arial"/>
          <w:sz w:val="20"/>
          <w:szCs w:val="20"/>
          <w:lang w:val="en-GB"/>
        </w:rPr>
        <w:t>L1 measurement and reporting</w:t>
      </w:r>
      <w:r>
        <w:rPr>
          <w:rFonts w:ascii="Arial" w:hAnsi="Arial" w:cs="Arial"/>
          <w:sz w:val="20"/>
          <w:szCs w:val="20"/>
          <w:lang w:val="en-GB"/>
        </w:rPr>
        <w:t>” part.</w:t>
      </w:r>
      <w:r w:rsidR="00E00BB0">
        <w:rPr>
          <w:rFonts w:ascii="Arial" w:hAnsi="Arial" w:cs="Arial"/>
          <w:sz w:val="20"/>
          <w:szCs w:val="20"/>
          <w:lang w:val="en-GB"/>
        </w:rPr>
        <w:t xml:space="preserve"> </w:t>
      </w:r>
      <w:r w:rsidR="004A103C" w:rsidRPr="00575E71">
        <w:rPr>
          <w:rFonts w:ascii="Arial" w:hAnsi="Arial" w:cs="Arial"/>
          <w:sz w:val="20"/>
          <w:szCs w:val="20"/>
          <w:lang w:val="en-GB"/>
        </w:rPr>
        <w:t xml:space="preserve">In last meeting, we </w:t>
      </w:r>
      <w:r w:rsidR="001F4090">
        <w:rPr>
          <w:rFonts w:ascii="Arial" w:hAnsi="Arial" w:cs="Arial"/>
          <w:sz w:val="20"/>
          <w:szCs w:val="20"/>
          <w:lang w:val="en-GB"/>
        </w:rPr>
        <w:t>made</w:t>
      </w:r>
      <w:r w:rsidR="004A103C" w:rsidRPr="00575E71">
        <w:rPr>
          <w:rFonts w:ascii="Arial" w:hAnsi="Arial" w:cs="Arial"/>
          <w:sz w:val="20"/>
          <w:szCs w:val="20"/>
          <w:lang w:val="en-GB"/>
        </w:rPr>
        <w:t xml:space="preserve"> the following </w:t>
      </w:r>
      <w:r w:rsidR="001F4090">
        <w:rPr>
          <w:rFonts w:ascii="Arial" w:hAnsi="Arial" w:cs="Arial"/>
          <w:sz w:val="20"/>
          <w:szCs w:val="20"/>
          <w:lang w:val="en-GB"/>
        </w:rPr>
        <w:t xml:space="preserve">assumption about the </w:t>
      </w:r>
      <w:r w:rsidR="00710DE2">
        <w:rPr>
          <w:rFonts w:ascii="Arial" w:hAnsi="Arial" w:cs="Arial"/>
          <w:sz w:val="20"/>
          <w:szCs w:val="20"/>
          <w:lang w:val="en-GB"/>
        </w:rPr>
        <w:t xml:space="preserve">trigger </w:t>
      </w:r>
      <w:r w:rsidR="006E0C0D">
        <w:rPr>
          <w:rFonts w:ascii="Arial" w:hAnsi="Arial" w:cs="Arial"/>
          <w:sz w:val="20"/>
          <w:szCs w:val="20"/>
          <w:lang w:val="en-GB"/>
        </w:rPr>
        <w:t>of L1/L2 mobility.</w:t>
      </w:r>
    </w:p>
    <w:tbl>
      <w:tblPr>
        <w:tblStyle w:val="TableGrid"/>
        <w:tblW w:w="10183" w:type="dxa"/>
        <w:tblLook w:val="04A0" w:firstRow="1" w:lastRow="0" w:firstColumn="1" w:lastColumn="0" w:noHBand="0" w:noVBand="1"/>
      </w:tblPr>
      <w:tblGrid>
        <w:gridCol w:w="10183"/>
      </w:tblGrid>
      <w:tr w:rsidR="004A103C" w14:paraId="199426B6" w14:textId="77777777" w:rsidTr="00F4429F">
        <w:trPr>
          <w:trHeight w:val="697"/>
        </w:trPr>
        <w:tc>
          <w:tcPr>
            <w:tcW w:w="10183" w:type="dxa"/>
          </w:tcPr>
          <w:p w14:paraId="78CE3354" w14:textId="77777777" w:rsidR="004A103C" w:rsidRPr="00766B27" w:rsidRDefault="004A103C" w:rsidP="00F4429F">
            <w:pPr>
              <w:pStyle w:val="Agreement"/>
              <w:tabs>
                <w:tab w:val="num" w:pos="1418"/>
              </w:tabs>
              <w:ind w:left="851" w:hanging="425"/>
            </w:pPr>
            <w:r>
              <w:t>Assume that we rely on L1 measurements to trigger L1L2 mobility (still measurement for preparation could be L3, FFS)</w:t>
            </w:r>
          </w:p>
        </w:tc>
      </w:tr>
    </w:tbl>
    <w:p w14:paraId="2A7F7B59" w14:textId="79930C7C" w:rsidR="00C91108" w:rsidRDefault="000C7451" w:rsidP="0064066D">
      <w:pPr>
        <w:spacing w:before="120" w:after="120"/>
        <w:jc w:val="both"/>
        <w:rPr>
          <w:rFonts w:ascii="Arial" w:hAnsi="Arial" w:cs="Arial"/>
          <w:sz w:val="20"/>
          <w:szCs w:val="20"/>
        </w:rPr>
      </w:pPr>
      <w:bookmarkStart w:id="5" w:name="_Hlk110588814"/>
      <w:r>
        <w:rPr>
          <w:rFonts w:ascii="Arial" w:hAnsi="Arial" w:cs="Arial" w:hint="eastAsia"/>
          <w:sz w:val="20"/>
          <w:szCs w:val="20"/>
          <w:lang w:val="en-GB"/>
        </w:rPr>
        <w:t>T</w:t>
      </w:r>
      <w:r>
        <w:rPr>
          <w:rFonts w:ascii="Arial" w:hAnsi="Arial" w:cs="Arial"/>
          <w:sz w:val="20"/>
          <w:szCs w:val="20"/>
          <w:lang w:val="en-GB"/>
        </w:rPr>
        <w:t xml:space="preserve">he decision of L1/L2 mobility is made by network, but the assumption means that </w:t>
      </w:r>
      <w:r w:rsidR="0064066D">
        <w:rPr>
          <w:rFonts w:ascii="Arial" w:hAnsi="Arial" w:cs="Arial"/>
          <w:sz w:val="20"/>
          <w:szCs w:val="20"/>
          <w:lang w:val="en-GB"/>
        </w:rPr>
        <w:t xml:space="preserve">UE needs to perform L1 measurements for SSB/CSI-RS from a candidate cell. </w:t>
      </w:r>
      <w:r w:rsidR="0002623B" w:rsidRPr="000C7451">
        <w:rPr>
          <w:rFonts w:ascii="Arial" w:hAnsi="Arial" w:cs="Arial"/>
          <w:sz w:val="20"/>
          <w:szCs w:val="20"/>
          <w:lang w:val="en-GB"/>
        </w:rPr>
        <w:t xml:space="preserve">In Rel-17 </w:t>
      </w:r>
      <w:r w:rsidR="005C36C4">
        <w:rPr>
          <w:rFonts w:ascii="Arial" w:hAnsi="Arial" w:cs="Arial"/>
          <w:sz w:val="20"/>
          <w:szCs w:val="20"/>
          <w:lang w:val="en-GB"/>
        </w:rPr>
        <w:t>inter-cell beam management (</w:t>
      </w:r>
      <w:r w:rsidR="007A10C1">
        <w:rPr>
          <w:rFonts w:ascii="Arial" w:hAnsi="Arial" w:cs="Arial"/>
          <w:sz w:val="20"/>
          <w:szCs w:val="20"/>
          <w:lang w:val="en-GB"/>
        </w:rPr>
        <w:t xml:space="preserve">ICBM, </w:t>
      </w:r>
      <w:r w:rsidR="005C36C4">
        <w:rPr>
          <w:rFonts w:ascii="Arial" w:hAnsi="Arial" w:cs="Arial"/>
          <w:sz w:val="20"/>
          <w:szCs w:val="20"/>
          <w:lang w:val="en-GB"/>
        </w:rPr>
        <w:t xml:space="preserve">introduced in </w:t>
      </w:r>
      <w:r w:rsidR="007A10C1">
        <w:rPr>
          <w:rFonts w:ascii="Arial" w:hAnsi="Arial" w:cs="Arial"/>
          <w:sz w:val="20"/>
          <w:szCs w:val="20"/>
          <w:lang w:val="en-GB"/>
        </w:rPr>
        <w:t xml:space="preserve">the </w:t>
      </w:r>
      <w:r w:rsidR="00545259">
        <w:rPr>
          <w:rFonts w:ascii="Arial" w:hAnsi="Arial" w:cs="Arial"/>
          <w:sz w:val="20"/>
          <w:szCs w:val="20"/>
          <w:lang w:val="en-GB"/>
        </w:rPr>
        <w:t>F</w:t>
      </w:r>
      <w:r w:rsidR="0002623B" w:rsidRPr="000C7451">
        <w:rPr>
          <w:rFonts w:ascii="Arial" w:hAnsi="Arial" w:cs="Arial"/>
          <w:sz w:val="20"/>
          <w:szCs w:val="20"/>
          <w:lang w:val="en-GB"/>
        </w:rPr>
        <w:t>eMIMO</w:t>
      </w:r>
      <w:r w:rsidR="005C36C4">
        <w:rPr>
          <w:rFonts w:ascii="Arial" w:hAnsi="Arial" w:cs="Arial"/>
          <w:sz w:val="20"/>
          <w:szCs w:val="20"/>
          <w:lang w:val="en-GB"/>
        </w:rPr>
        <w:t xml:space="preserve"> WI)</w:t>
      </w:r>
      <w:r w:rsidR="0002623B" w:rsidRPr="000C7451">
        <w:rPr>
          <w:rFonts w:ascii="Arial" w:hAnsi="Arial" w:cs="Arial"/>
          <w:sz w:val="20"/>
          <w:szCs w:val="20"/>
          <w:lang w:val="en-GB"/>
        </w:rPr>
        <w:t>, UE is allowed to perform</w:t>
      </w:r>
      <w:r w:rsidR="00C94BDD" w:rsidRPr="000C7451">
        <w:rPr>
          <w:rFonts w:ascii="Arial" w:hAnsi="Arial" w:cs="Arial"/>
          <w:sz w:val="20"/>
          <w:szCs w:val="20"/>
        </w:rPr>
        <w:t xml:space="preserve"> </w:t>
      </w:r>
      <w:r w:rsidR="0002623B" w:rsidRPr="000C7451">
        <w:rPr>
          <w:rFonts w:ascii="Arial" w:hAnsi="Arial" w:cs="Arial"/>
          <w:sz w:val="20"/>
          <w:szCs w:val="20"/>
        </w:rPr>
        <w:t xml:space="preserve">L1 measurements for SSBs from another cell. This is done by configuring </w:t>
      </w:r>
      <w:r w:rsidRPr="000C7451">
        <w:rPr>
          <w:rFonts w:ascii="Arial" w:hAnsi="Arial" w:cs="Arial"/>
          <w:i/>
          <w:iCs/>
          <w:sz w:val="20"/>
          <w:szCs w:val="20"/>
        </w:rPr>
        <w:t>csi-SSB-ResourceList</w:t>
      </w:r>
      <w:r w:rsidRPr="000C7451">
        <w:rPr>
          <w:rFonts w:ascii="Arial" w:hAnsi="Arial" w:cs="Arial"/>
          <w:sz w:val="20"/>
          <w:szCs w:val="20"/>
        </w:rPr>
        <w:t xml:space="preserve"> corresponding to </w:t>
      </w:r>
      <w:r w:rsidR="0002623B" w:rsidRPr="000C7451">
        <w:rPr>
          <w:rFonts w:ascii="Arial" w:hAnsi="Arial" w:cs="Arial"/>
          <w:sz w:val="20"/>
          <w:szCs w:val="20"/>
        </w:rPr>
        <w:t xml:space="preserve">these SSBs, and including </w:t>
      </w:r>
      <w:r w:rsidRPr="000C7451">
        <w:rPr>
          <w:rFonts w:ascii="Arial" w:hAnsi="Arial" w:cs="Arial"/>
          <w:i/>
          <w:iCs/>
          <w:sz w:val="20"/>
          <w:szCs w:val="20"/>
        </w:rPr>
        <w:t>ServingAdditionalPCIIndex</w:t>
      </w:r>
      <w:r w:rsidRPr="000C7451">
        <w:rPr>
          <w:rFonts w:ascii="Arial" w:hAnsi="Arial" w:cs="Arial"/>
          <w:sz w:val="20"/>
          <w:szCs w:val="20"/>
        </w:rPr>
        <w:t xml:space="preserve"> with non-zero values, indicating that the SSBs are from a different cell.</w:t>
      </w:r>
      <w:r w:rsidR="00DB19E7">
        <w:rPr>
          <w:rFonts w:ascii="Arial" w:hAnsi="Arial" w:cs="Arial" w:hint="eastAsia"/>
          <w:sz w:val="20"/>
          <w:szCs w:val="20"/>
        </w:rPr>
        <w:t xml:space="preserve"> In</w:t>
      </w:r>
      <w:r w:rsidR="00DB19E7">
        <w:rPr>
          <w:rFonts w:ascii="Arial" w:hAnsi="Arial" w:cs="Arial"/>
          <w:sz w:val="20"/>
          <w:szCs w:val="20"/>
        </w:rPr>
        <w:t xml:space="preserve"> Rel-18, we may allow UE to </w:t>
      </w:r>
      <w:r w:rsidR="00020906">
        <w:rPr>
          <w:rFonts w:ascii="Arial" w:hAnsi="Arial" w:cs="Arial"/>
          <w:sz w:val="20"/>
          <w:szCs w:val="20"/>
        </w:rPr>
        <w:t>perform L1 measurement and reporting for CSI-RS, but this belong</w:t>
      </w:r>
      <w:r w:rsidR="00C13109">
        <w:rPr>
          <w:rFonts w:ascii="Arial" w:hAnsi="Arial" w:cs="Arial"/>
          <w:sz w:val="20"/>
          <w:szCs w:val="20"/>
        </w:rPr>
        <w:t>s</w:t>
      </w:r>
      <w:r w:rsidR="00020906">
        <w:rPr>
          <w:rFonts w:ascii="Arial" w:hAnsi="Arial" w:cs="Arial"/>
          <w:sz w:val="20"/>
          <w:szCs w:val="20"/>
        </w:rPr>
        <w:t xml:space="preserve"> to RAN1 scope. Another </w:t>
      </w:r>
      <w:r w:rsidR="00693EB1">
        <w:rPr>
          <w:rFonts w:ascii="Arial" w:hAnsi="Arial" w:cs="Arial"/>
          <w:sz w:val="20"/>
          <w:szCs w:val="20"/>
        </w:rPr>
        <w:t xml:space="preserve">potential direction of enhancement </w:t>
      </w:r>
      <w:r w:rsidR="008A24C6">
        <w:rPr>
          <w:rFonts w:ascii="Arial" w:hAnsi="Arial" w:cs="Arial"/>
          <w:sz w:val="20"/>
          <w:szCs w:val="20"/>
        </w:rPr>
        <w:t xml:space="preserve">is the reporting mechanism (e.g., introducing </w:t>
      </w:r>
      <w:r w:rsidR="009C0EAB">
        <w:rPr>
          <w:rFonts w:ascii="Arial" w:hAnsi="Arial" w:cs="Arial"/>
          <w:sz w:val="20"/>
          <w:szCs w:val="20"/>
        </w:rPr>
        <w:t>event driven</w:t>
      </w:r>
      <w:r w:rsidR="008A24C6">
        <w:rPr>
          <w:rFonts w:ascii="Arial" w:hAnsi="Arial" w:cs="Arial"/>
          <w:sz w:val="20"/>
          <w:szCs w:val="20"/>
        </w:rPr>
        <w:t xml:space="preserve"> L1 reporting), but this also belongs to RAN1 scope.</w:t>
      </w:r>
    </w:p>
    <w:p w14:paraId="36140392" w14:textId="68A3ED66" w:rsidR="00C13109" w:rsidRDefault="00C13109" w:rsidP="0064066D">
      <w:pPr>
        <w:spacing w:before="120" w:after="120"/>
        <w:jc w:val="both"/>
        <w:rPr>
          <w:rFonts w:ascii="Arial" w:hAnsi="Arial" w:cs="Arial"/>
          <w:sz w:val="20"/>
          <w:szCs w:val="20"/>
        </w:rPr>
      </w:pPr>
      <w:r>
        <w:rPr>
          <w:rFonts w:ascii="Arial" w:hAnsi="Arial" w:cs="Arial"/>
          <w:sz w:val="20"/>
          <w:szCs w:val="20"/>
        </w:rPr>
        <w:t xml:space="preserve">RAN2 work for this part of the objective is mainly about </w:t>
      </w:r>
      <w:r w:rsidR="008A24C6">
        <w:rPr>
          <w:rFonts w:ascii="Arial" w:hAnsi="Arial" w:cs="Arial"/>
          <w:sz w:val="20"/>
          <w:szCs w:val="20"/>
        </w:rPr>
        <w:t>RRC configuration. We believe that RAN1 can discuss L1 enhancements from RAN1 perspectives without RAN2 guidance.</w:t>
      </w:r>
    </w:p>
    <w:p w14:paraId="72DA28C3" w14:textId="117D4080" w:rsidR="00200BA1" w:rsidRPr="009C0EAB" w:rsidRDefault="00200BA1" w:rsidP="0064066D">
      <w:pPr>
        <w:spacing w:before="120" w:after="120"/>
        <w:jc w:val="both"/>
        <w:rPr>
          <w:rFonts w:ascii="Arial" w:hAnsi="Arial" w:cs="Arial"/>
          <w:i/>
          <w:iCs/>
          <w:sz w:val="20"/>
          <w:szCs w:val="20"/>
        </w:rPr>
      </w:pPr>
      <w:r w:rsidRPr="009C0EAB">
        <w:rPr>
          <w:rFonts w:ascii="Arial" w:hAnsi="Arial" w:cs="Arial"/>
          <w:i/>
          <w:iCs/>
          <w:sz w:val="20"/>
          <w:szCs w:val="20"/>
        </w:rPr>
        <w:t>Observation</w:t>
      </w:r>
      <w:r w:rsidR="00220AAF" w:rsidRPr="009C0EAB">
        <w:rPr>
          <w:rFonts w:ascii="Arial" w:hAnsi="Arial" w:cs="Arial"/>
          <w:i/>
          <w:iCs/>
          <w:sz w:val="20"/>
          <w:szCs w:val="20"/>
        </w:rPr>
        <w:t xml:space="preserve"> 1</w:t>
      </w:r>
      <w:r w:rsidRPr="009C0EAB">
        <w:rPr>
          <w:rFonts w:ascii="Arial" w:hAnsi="Arial" w:cs="Arial"/>
          <w:i/>
          <w:iCs/>
          <w:sz w:val="20"/>
          <w:szCs w:val="20"/>
        </w:rPr>
        <w:t>:</w:t>
      </w:r>
      <w:r w:rsidRPr="009C0EAB">
        <w:rPr>
          <w:rFonts w:ascii="Arial" w:hAnsi="Arial" w:cs="Arial"/>
          <w:i/>
          <w:iCs/>
          <w:sz w:val="20"/>
          <w:szCs w:val="20"/>
        </w:rPr>
        <w:tab/>
        <w:t>RAN1 can discuss L1 enhancements for</w:t>
      </w:r>
      <w:r w:rsidR="00387105">
        <w:rPr>
          <w:rFonts w:ascii="Arial" w:hAnsi="Arial" w:cs="Arial"/>
          <w:i/>
          <w:iCs/>
          <w:sz w:val="20"/>
          <w:szCs w:val="20"/>
        </w:rPr>
        <w:t xml:space="preserve"> inter-cell BM</w:t>
      </w:r>
      <w:r w:rsidRPr="009C0EAB">
        <w:rPr>
          <w:rFonts w:ascii="Arial" w:hAnsi="Arial" w:cs="Arial"/>
          <w:i/>
          <w:iCs/>
          <w:sz w:val="20"/>
          <w:szCs w:val="20"/>
        </w:rPr>
        <w:t xml:space="preserve"> </w:t>
      </w:r>
      <w:r w:rsidR="008A24C6" w:rsidRPr="009C0EAB">
        <w:rPr>
          <w:rFonts w:ascii="Arial" w:hAnsi="Arial" w:cs="Arial"/>
          <w:i/>
          <w:iCs/>
          <w:sz w:val="20"/>
          <w:szCs w:val="20"/>
        </w:rPr>
        <w:t>from RAN1 perspectives without RAN2 guidance.</w:t>
      </w:r>
    </w:p>
    <w:p w14:paraId="17DBE8F2" w14:textId="15B4C305" w:rsidR="00220AAF" w:rsidRDefault="00220AAF" w:rsidP="0064066D">
      <w:pPr>
        <w:spacing w:before="120" w:after="120"/>
        <w:jc w:val="both"/>
        <w:rPr>
          <w:rFonts w:ascii="Arial" w:hAnsi="Arial" w:cs="Arial"/>
          <w:b/>
          <w:bCs/>
          <w:sz w:val="20"/>
          <w:szCs w:val="20"/>
        </w:rPr>
      </w:pPr>
      <w:r w:rsidRPr="009C0EAB">
        <w:rPr>
          <w:rFonts w:ascii="Arial" w:hAnsi="Arial" w:cs="Arial" w:hint="eastAsia"/>
          <w:b/>
          <w:bCs/>
          <w:sz w:val="20"/>
          <w:szCs w:val="20"/>
        </w:rPr>
        <w:t>P</w:t>
      </w:r>
      <w:r w:rsidRPr="009C0EAB">
        <w:rPr>
          <w:rFonts w:ascii="Arial" w:hAnsi="Arial" w:cs="Arial"/>
          <w:b/>
          <w:bCs/>
          <w:sz w:val="20"/>
          <w:szCs w:val="20"/>
        </w:rPr>
        <w:t>roposal 1:</w:t>
      </w:r>
      <w:r w:rsidR="006E6FA6">
        <w:rPr>
          <w:rFonts w:ascii="Arial" w:hAnsi="Arial" w:cs="Arial"/>
          <w:b/>
          <w:bCs/>
          <w:sz w:val="20"/>
          <w:szCs w:val="20"/>
        </w:rPr>
        <w:t xml:space="preserve"> </w:t>
      </w:r>
      <w:r w:rsidR="00B32A8F">
        <w:rPr>
          <w:rFonts w:ascii="Arial" w:hAnsi="Arial" w:cs="Arial"/>
          <w:b/>
          <w:bCs/>
          <w:sz w:val="20"/>
          <w:szCs w:val="20"/>
        </w:rPr>
        <w:t>No RAN2 input is needed at this moment for RAN1 discussion on L1 me</w:t>
      </w:r>
      <w:r w:rsidR="006E6FA6">
        <w:rPr>
          <w:rFonts w:ascii="Arial" w:hAnsi="Arial" w:cs="Arial"/>
          <w:b/>
          <w:bCs/>
          <w:sz w:val="20"/>
          <w:szCs w:val="20"/>
        </w:rPr>
        <w:t xml:space="preserve">asurement and reporting. </w:t>
      </w:r>
    </w:p>
    <w:p w14:paraId="7BE2C4BA" w14:textId="5D92BAFD" w:rsidR="00630DE4" w:rsidRPr="00630DE4" w:rsidRDefault="00630DE4" w:rsidP="0064066D">
      <w:pPr>
        <w:spacing w:before="120" w:after="120"/>
        <w:jc w:val="both"/>
        <w:rPr>
          <w:rFonts w:ascii="Arial" w:hAnsi="Arial" w:cs="Arial"/>
          <w:sz w:val="20"/>
          <w:szCs w:val="20"/>
        </w:rPr>
      </w:pPr>
      <w:r w:rsidRPr="00630DE4">
        <w:rPr>
          <w:rFonts w:ascii="Arial" w:hAnsi="Arial" w:cs="Arial"/>
          <w:sz w:val="20"/>
          <w:szCs w:val="20"/>
        </w:rPr>
        <w:lastRenderedPageBreak/>
        <w:t>RAN2 can discuss RRC configuration issues later, based on our conclusion on RRC modeling as well as RAN1 progress.</w:t>
      </w:r>
    </w:p>
    <w:p w14:paraId="769DE121" w14:textId="38B2AC15" w:rsidR="00F1125A" w:rsidRPr="00F1125A" w:rsidRDefault="00F1125A" w:rsidP="00F1125A">
      <w:pPr>
        <w:pStyle w:val="Heading2"/>
        <w:rPr>
          <w:rFonts w:cs="Arial"/>
        </w:rPr>
      </w:pPr>
      <w:r w:rsidRPr="00F1125A">
        <w:rPr>
          <w:rFonts w:cs="Arial" w:hint="eastAsia"/>
        </w:rPr>
        <w:t>B</w:t>
      </w:r>
      <w:r w:rsidRPr="00F1125A">
        <w:rPr>
          <w:rFonts w:cs="Arial"/>
        </w:rPr>
        <w:t>eam indication</w:t>
      </w:r>
      <w:r w:rsidR="00E920B4">
        <w:rPr>
          <w:rFonts w:cs="Arial"/>
        </w:rPr>
        <w:t xml:space="preserve"> and dynamic cell switch</w:t>
      </w:r>
    </w:p>
    <w:p w14:paraId="76AAA192" w14:textId="752847D5" w:rsidR="0082212E" w:rsidRDefault="005F4D0E" w:rsidP="0064066D">
      <w:pPr>
        <w:spacing w:before="120" w:after="120"/>
        <w:jc w:val="both"/>
        <w:rPr>
          <w:rFonts w:ascii="Arial" w:hAnsi="Arial" w:cs="Arial"/>
          <w:sz w:val="20"/>
          <w:szCs w:val="20"/>
        </w:rPr>
      </w:pPr>
      <w:r w:rsidRPr="00F1125A">
        <w:rPr>
          <w:rFonts w:ascii="Arial" w:hAnsi="Arial" w:cs="Arial" w:hint="eastAsia"/>
          <w:sz w:val="20"/>
          <w:szCs w:val="20"/>
        </w:rPr>
        <w:t>U</w:t>
      </w:r>
      <w:r w:rsidRPr="00F1125A">
        <w:rPr>
          <w:rFonts w:ascii="Arial" w:hAnsi="Arial" w:cs="Arial"/>
          <w:sz w:val="20"/>
          <w:szCs w:val="20"/>
        </w:rPr>
        <w:t xml:space="preserve">nified TCI framework was introduced in Rel-17, with the main idea to have </w:t>
      </w:r>
      <w:r w:rsidR="00F1125A" w:rsidRPr="00F1125A">
        <w:rPr>
          <w:rFonts w:ascii="Arial" w:hAnsi="Arial" w:cs="Arial"/>
          <w:sz w:val="20"/>
          <w:szCs w:val="20"/>
        </w:rPr>
        <w:t xml:space="preserve">a single TCI state </w:t>
      </w:r>
      <w:r w:rsidR="00F1125A">
        <w:rPr>
          <w:rFonts w:ascii="Arial" w:hAnsi="Arial" w:cs="Arial"/>
          <w:sz w:val="20"/>
          <w:szCs w:val="20"/>
        </w:rPr>
        <w:t xml:space="preserve">applicable to different channels </w:t>
      </w:r>
      <w:r w:rsidR="00F053A0">
        <w:rPr>
          <w:rFonts w:ascii="Arial" w:hAnsi="Arial" w:cs="Arial"/>
          <w:sz w:val="20"/>
          <w:szCs w:val="20"/>
        </w:rPr>
        <w:t xml:space="preserve">and signals. </w:t>
      </w:r>
      <w:r w:rsidR="0082212E">
        <w:rPr>
          <w:rFonts w:ascii="Arial" w:hAnsi="Arial" w:cs="Arial"/>
          <w:sz w:val="20"/>
          <w:szCs w:val="20"/>
        </w:rPr>
        <w:t xml:space="preserve">Although this requires further RAN1 confirmation, RAN2 can assume </w:t>
      </w:r>
      <w:r w:rsidR="00773589">
        <w:rPr>
          <w:rFonts w:ascii="Arial" w:hAnsi="Arial" w:cs="Arial"/>
          <w:sz w:val="20"/>
          <w:szCs w:val="20"/>
        </w:rPr>
        <w:t>that un</w:t>
      </w:r>
      <w:r w:rsidR="00F569A6">
        <w:rPr>
          <w:rFonts w:ascii="Arial" w:hAnsi="Arial" w:cs="Arial"/>
          <w:sz w:val="20"/>
          <w:szCs w:val="20"/>
        </w:rPr>
        <w:t xml:space="preserve">ified TCI framework is the baseline for beam indication in </w:t>
      </w:r>
      <w:r w:rsidR="00C345AA">
        <w:rPr>
          <w:rFonts w:ascii="Arial" w:hAnsi="Arial" w:cs="Arial"/>
          <w:sz w:val="20"/>
          <w:szCs w:val="20"/>
        </w:rPr>
        <w:t>L1/L2-based inter-cell mobility.</w:t>
      </w:r>
    </w:p>
    <w:p w14:paraId="2558BC94" w14:textId="34B89CFF" w:rsidR="00C345AA" w:rsidRPr="00E920B4" w:rsidRDefault="00C345AA" w:rsidP="0064066D">
      <w:pPr>
        <w:spacing w:before="120" w:after="120"/>
        <w:jc w:val="both"/>
        <w:rPr>
          <w:rFonts w:ascii="Arial" w:hAnsi="Arial" w:cs="Arial"/>
          <w:b/>
          <w:bCs/>
          <w:sz w:val="20"/>
          <w:szCs w:val="20"/>
        </w:rPr>
      </w:pPr>
      <w:r w:rsidRPr="00E920B4">
        <w:rPr>
          <w:rFonts w:ascii="Arial" w:hAnsi="Arial" w:cs="Arial"/>
          <w:b/>
          <w:bCs/>
          <w:sz w:val="20"/>
          <w:szCs w:val="20"/>
        </w:rPr>
        <w:t>Proposal 2:</w:t>
      </w:r>
      <w:r w:rsidR="008B1187">
        <w:rPr>
          <w:rFonts w:ascii="Arial" w:hAnsi="Arial" w:cs="Arial"/>
          <w:b/>
          <w:bCs/>
          <w:sz w:val="20"/>
          <w:szCs w:val="20"/>
        </w:rPr>
        <w:t xml:space="preserve"> </w:t>
      </w:r>
      <w:r w:rsidRPr="00E920B4">
        <w:rPr>
          <w:rFonts w:ascii="Arial" w:hAnsi="Arial" w:cs="Arial" w:hint="eastAsia"/>
          <w:b/>
          <w:bCs/>
          <w:sz w:val="20"/>
          <w:szCs w:val="20"/>
        </w:rPr>
        <w:t>R</w:t>
      </w:r>
      <w:r w:rsidRPr="00E920B4">
        <w:rPr>
          <w:rFonts w:ascii="Arial" w:hAnsi="Arial" w:cs="Arial"/>
          <w:b/>
          <w:bCs/>
          <w:sz w:val="20"/>
          <w:szCs w:val="20"/>
        </w:rPr>
        <w:t>AN2 assumes that</w:t>
      </w:r>
      <w:r w:rsidR="00E920B4" w:rsidRPr="00E920B4">
        <w:rPr>
          <w:rFonts w:ascii="Arial" w:hAnsi="Arial" w:cs="Arial"/>
          <w:b/>
          <w:bCs/>
          <w:sz w:val="20"/>
          <w:szCs w:val="20"/>
        </w:rPr>
        <w:t xml:space="preserve"> unified TCI framework is the baseline for beam indication in L1/L2-based inter-cell mobility.</w:t>
      </w:r>
    </w:p>
    <w:p w14:paraId="58B78510" w14:textId="07B214A3" w:rsidR="00E920B4" w:rsidRPr="00244CDD" w:rsidRDefault="00E920B4" w:rsidP="00E920B4">
      <w:pPr>
        <w:spacing w:before="120" w:after="120"/>
        <w:jc w:val="both"/>
        <w:rPr>
          <w:rFonts w:ascii="Arial" w:hAnsi="Arial" w:cs="Arial"/>
          <w:sz w:val="20"/>
          <w:szCs w:val="20"/>
        </w:rPr>
      </w:pPr>
      <w:r>
        <w:rPr>
          <w:rFonts w:ascii="Arial" w:hAnsi="Arial" w:cs="Arial" w:hint="eastAsia"/>
          <w:sz w:val="20"/>
          <w:szCs w:val="20"/>
        </w:rPr>
        <w:t>E</w:t>
      </w:r>
      <w:r>
        <w:rPr>
          <w:rFonts w:ascii="Arial" w:hAnsi="Arial" w:cs="Arial"/>
          <w:sz w:val="20"/>
          <w:szCs w:val="20"/>
        </w:rPr>
        <w:t>ven if a TCI state in Rel-17 unified TCI framework can be assoc</w:t>
      </w:r>
      <w:r w:rsidR="003E6FF8">
        <w:rPr>
          <w:rFonts w:ascii="Arial" w:hAnsi="Arial" w:cs="Arial"/>
          <w:sz w:val="20"/>
          <w:szCs w:val="20"/>
        </w:rPr>
        <w:t xml:space="preserve">iated with an </w:t>
      </w:r>
      <w:r w:rsidR="003E6FF8" w:rsidRPr="00F3798A">
        <w:rPr>
          <w:rFonts w:ascii="Arial" w:hAnsi="Arial" w:cs="Arial"/>
          <w:i/>
          <w:iCs/>
          <w:sz w:val="20"/>
          <w:szCs w:val="20"/>
        </w:rPr>
        <w:t>additionalPCI</w:t>
      </w:r>
      <w:r w:rsidR="003E6FF8">
        <w:rPr>
          <w:rFonts w:ascii="Arial" w:hAnsi="Arial" w:cs="Arial"/>
          <w:sz w:val="20"/>
          <w:szCs w:val="20"/>
        </w:rPr>
        <w:t xml:space="preserve"> (i.e., PCI different from serving cell ID), indication to such a TCI state does not incur any cell change.</w:t>
      </w:r>
      <w:r w:rsidR="00594D74">
        <w:rPr>
          <w:rFonts w:ascii="Arial" w:hAnsi="Arial" w:cs="Arial"/>
          <w:sz w:val="20"/>
          <w:szCs w:val="20"/>
        </w:rPr>
        <w:t xml:space="preserve"> </w:t>
      </w:r>
    </w:p>
    <w:p w14:paraId="0FCD796A" w14:textId="5D036C47" w:rsidR="00E920B4" w:rsidRPr="000D1417" w:rsidRDefault="00594D74" w:rsidP="0064066D">
      <w:pPr>
        <w:spacing w:before="120" w:after="120"/>
        <w:jc w:val="both"/>
        <w:rPr>
          <w:rFonts w:ascii="Arial" w:hAnsi="Arial" w:cs="Arial"/>
          <w:i/>
          <w:iCs/>
          <w:sz w:val="20"/>
          <w:szCs w:val="20"/>
        </w:rPr>
      </w:pPr>
      <w:r w:rsidRPr="000D1417">
        <w:rPr>
          <w:rFonts w:ascii="Arial" w:hAnsi="Arial" w:cs="Arial"/>
          <w:i/>
          <w:iCs/>
          <w:sz w:val="20"/>
          <w:szCs w:val="20"/>
        </w:rPr>
        <w:t>O</w:t>
      </w:r>
      <w:r w:rsidR="000D1417">
        <w:rPr>
          <w:rFonts w:ascii="Arial" w:hAnsi="Arial" w:cs="Arial"/>
          <w:i/>
          <w:iCs/>
          <w:sz w:val="20"/>
          <w:szCs w:val="20"/>
        </w:rPr>
        <w:t>bservation 1</w:t>
      </w:r>
      <w:r w:rsidR="003E6FF8" w:rsidRPr="000D1417">
        <w:rPr>
          <w:rFonts w:ascii="Arial" w:hAnsi="Arial" w:cs="Arial"/>
          <w:i/>
          <w:iCs/>
          <w:sz w:val="20"/>
          <w:szCs w:val="20"/>
        </w:rPr>
        <w:t>:</w:t>
      </w:r>
      <w:r w:rsidR="003E6FF8" w:rsidRPr="000D1417">
        <w:rPr>
          <w:rFonts w:ascii="Arial" w:hAnsi="Arial" w:cs="Arial"/>
          <w:i/>
          <w:iCs/>
          <w:sz w:val="20"/>
          <w:szCs w:val="20"/>
        </w:rPr>
        <w:tab/>
      </w:r>
      <w:r w:rsidRPr="000D1417">
        <w:rPr>
          <w:rFonts w:ascii="Arial" w:hAnsi="Arial" w:cs="Arial"/>
          <w:i/>
          <w:iCs/>
          <w:sz w:val="20"/>
          <w:szCs w:val="20"/>
        </w:rPr>
        <w:t>In Re</w:t>
      </w:r>
      <w:r w:rsidR="00155565">
        <w:rPr>
          <w:rFonts w:ascii="Arial" w:hAnsi="Arial" w:cs="Arial"/>
          <w:i/>
          <w:iCs/>
          <w:sz w:val="20"/>
          <w:szCs w:val="20"/>
        </w:rPr>
        <w:t>l</w:t>
      </w:r>
      <w:r w:rsidR="00244CDD">
        <w:rPr>
          <w:rFonts w:ascii="Arial" w:hAnsi="Arial" w:cs="Arial"/>
          <w:i/>
          <w:iCs/>
          <w:sz w:val="20"/>
          <w:szCs w:val="20"/>
        </w:rPr>
        <w:t xml:space="preserve">-17 unified TCI framework, </w:t>
      </w:r>
      <w:r w:rsidR="009A16C2">
        <w:rPr>
          <w:rFonts w:ascii="Arial" w:hAnsi="Arial" w:cs="Arial"/>
          <w:i/>
          <w:iCs/>
          <w:sz w:val="20"/>
          <w:szCs w:val="20"/>
        </w:rPr>
        <w:t xml:space="preserve">beam </w:t>
      </w:r>
      <w:r w:rsidR="00244CDD">
        <w:rPr>
          <w:rFonts w:ascii="Arial" w:hAnsi="Arial" w:cs="Arial"/>
          <w:i/>
          <w:iCs/>
          <w:sz w:val="20"/>
          <w:szCs w:val="20"/>
        </w:rPr>
        <w:t xml:space="preserve">indication </w:t>
      </w:r>
      <w:r w:rsidR="009A16C2">
        <w:rPr>
          <w:rFonts w:ascii="Arial" w:hAnsi="Arial" w:cs="Arial"/>
          <w:i/>
          <w:iCs/>
          <w:sz w:val="20"/>
          <w:szCs w:val="20"/>
        </w:rPr>
        <w:t xml:space="preserve">does not </w:t>
      </w:r>
      <w:r w:rsidR="00A23746">
        <w:rPr>
          <w:rFonts w:ascii="Arial" w:hAnsi="Arial" w:cs="Arial"/>
          <w:i/>
          <w:iCs/>
          <w:sz w:val="20"/>
          <w:szCs w:val="20"/>
        </w:rPr>
        <w:t>incur cell switch, even if the beam is associated</w:t>
      </w:r>
      <w:r w:rsidR="0049553C">
        <w:rPr>
          <w:rFonts w:ascii="Arial" w:hAnsi="Arial" w:cs="Arial"/>
          <w:i/>
          <w:iCs/>
          <w:sz w:val="20"/>
          <w:szCs w:val="20"/>
        </w:rPr>
        <w:t xml:space="preserve"> with an</w:t>
      </w:r>
      <w:r w:rsidR="00C4640B">
        <w:rPr>
          <w:rFonts w:ascii="Arial" w:hAnsi="Arial" w:cs="Arial"/>
          <w:i/>
          <w:iCs/>
          <w:sz w:val="20"/>
          <w:szCs w:val="20"/>
        </w:rPr>
        <w:t xml:space="preserve"> additional PCI</w:t>
      </w:r>
      <w:r w:rsidR="00357D77">
        <w:rPr>
          <w:rFonts w:ascii="Arial" w:hAnsi="Arial" w:cs="Arial"/>
          <w:i/>
          <w:iCs/>
          <w:sz w:val="20"/>
          <w:szCs w:val="20"/>
        </w:rPr>
        <w:t>.</w:t>
      </w:r>
    </w:p>
    <w:p w14:paraId="0D401A62" w14:textId="55CE666A" w:rsidR="00F62FBD" w:rsidRPr="00F62FBD" w:rsidRDefault="00A23746" w:rsidP="0064066D">
      <w:pPr>
        <w:spacing w:before="120" w:after="120"/>
        <w:jc w:val="both"/>
        <w:rPr>
          <w:rFonts w:ascii="Arial" w:hAnsi="Arial" w:cs="Arial"/>
          <w:sz w:val="20"/>
          <w:szCs w:val="20"/>
        </w:rPr>
      </w:pPr>
      <w:r>
        <w:rPr>
          <w:rFonts w:ascii="Arial" w:hAnsi="Arial" w:cs="Arial"/>
          <w:sz w:val="20"/>
          <w:szCs w:val="20"/>
        </w:rPr>
        <w:t>In Rel-18, we need to consider beam indication upon cell switch, that is, there will be indications for target cell and target beam upon cell switch.</w:t>
      </w:r>
    </w:p>
    <w:p w14:paraId="6B0C6A55" w14:textId="2F6DAB09" w:rsidR="00A36B00" w:rsidRDefault="00F053A0" w:rsidP="0064066D">
      <w:pPr>
        <w:spacing w:before="120" w:after="120"/>
        <w:jc w:val="both"/>
        <w:rPr>
          <w:rFonts w:ascii="Arial" w:hAnsi="Arial" w:cs="Arial"/>
          <w:sz w:val="20"/>
          <w:szCs w:val="20"/>
        </w:rPr>
      </w:pPr>
      <w:r>
        <w:rPr>
          <w:rFonts w:ascii="Arial" w:hAnsi="Arial" w:cs="Arial"/>
          <w:sz w:val="20"/>
          <w:szCs w:val="20"/>
        </w:rPr>
        <w:t xml:space="preserve">In unified TCI </w:t>
      </w:r>
      <w:r w:rsidR="007D65FA">
        <w:rPr>
          <w:rFonts w:ascii="Arial" w:hAnsi="Arial" w:cs="Arial"/>
          <w:sz w:val="20"/>
          <w:szCs w:val="20"/>
        </w:rPr>
        <w:t xml:space="preserve">framework, the network </w:t>
      </w:r>
      <w:r w:rsidR="00FF0C7D">
        <w:rPr>
          <w:rFonts w:ascii="Arial" w:hAnsi="Arial" w:cs="Arial"/>
          <w:sz w:val="20"/>
          <w:szCs w:val="20"/>
        </w:rPr>
        <w:t xml:space="preserve">can indicate the beam (TCI state) for a UE in the following ways </w:t>
      </w:r>
      <w:r w:rsidR="007D65FA">
        <w:rPr>
          <w:rFonts w:ascii="Arial" w:hAnsi="Arial" w:cs="Arial"/>
          <w:sz w:val="20"/>
          <w:szCs w:val="20"/>
        </w:rPr>
        <w:t>(see subclause 5.1.5, TS 38.214</w:t>
      </w:r>
      <w:r w:rsidR="004B07B6">
        <w:rPr>
          <w:rFonts w:ascii="Arial" w:hAnsi="Arial" w:cs="Arial"/>
          <w:sz w:val="20"/>
          <w:szCs w:val="20"/>
        </w:rPr>
        <w:t xml:space="preserve"> for details</w:t>
      </w:r>
      <w:r w:rsidR="007D65FA">
        <w:rPr>
          <w:rFonts w:ascii="Arial" w:hAnsi="Arial" w:cs="Arial"/>
          <w:sz w:val="20"/>
          <w:szCs w:val="20"/>
        </w:rPr>
        <w:t>):</w:t>
      </w:r>
    </w:p>
    <w:p w14:paraId="40B82415" w14:textId="60158757" w:rsidR="00E501A0" w:rsidRPr="00E501A0" w:rsidRDefault="002744F5" w:rsidP="00E501A0">
      <w:pPr>
        <w:pStyle w:val="ListParagraph"/>
        <w:numPr>
          <w:ilvl w:val="0"/>
          <w:numId w:val="58"/>
        </w:numPr>
        <w:spacing w:before="120" w:after="120"/>
        <w:jc w:val="both"/>
        <w:rPr>
          <w:rFonts w:ascii="Arial" w:hAnsi="Arial" w:cs="Arial"/>
        </w:rPr>
      </w:pPr>
      <w:r>
        <w:rPr>
          <w:rFonts w:ascii="Arial" w:eastAsiaTheme="minorEastAsia" w:hAnsi="Arial" w:cs="Arial"/>
          <w:lang w:eastAsia="zh-TW"/>
        </w:rPr>
        <w:t xml:space="preserve">(1) </w:t>
      </w:r>
      <w:r w:rsidR="00E501A0">
        <w:rPr>
          <w:rFonts w:ascii="Arial" w:eastAsiaTheme="minorEastAsia" w:hAnsi="Arial" w:cs="Arial" w:hint="eastAsia"/>
          <w:lang w:eastAsia="zh-TW"/>
        </w:rPr>
        <w:t>I</w:t>
      </w:r>
      <w:r w:rsidR="00E501A0">
        <w:rPr>
          <w:rFonts w:ascii="Arial" w:eastAsiaTheme="minorEastAsia" w:hAnsi="Arial" w:cs="Arial"/>
          <w:lang w:eastAsia="zh-TW"/>
        </w:rPr>
        <w:t>f RRC configures a single TCI state, this is the TCI state to use</w:t>
      </w:r>
      <w:r w:rsidR="00230E04">
        <w:rPr>
          <w:rFonts w:ascii="Arial" w:eastAsiaTheme="minorEastAsia" w:hAnsi="Arial" w:cs="Arial"/>
          <w:lang w:eastAsia="zh-TW"/>
        </w:rPr>
        <w:t>.</w:t>
      </w:r>
    </w:p>
    <w:p w14:paraId="3A98FF8E" w14:textId="40B3D10B" w:rsidR="00E501A0" w:rsidRPr="00230E04" w:rsidRDefault="002744F5" w:rsidP="00E501A0">
      <w:pPr>
        <w:pStyle w:val="ListParagraph"/>
        <w:numPr>
          <w:ilvl w:val="0"/>
          <w:numId w:val="58"/>
        </w:numPr>
        <w:spacing w:before="120" w:after="120"/>
        <w:jc w:val="both"/>
        <w:rPr>
          <w:rFonts w:ascii="Arial" w:hAnsi="Arial" w:cs="Arial"/>
        </w:rPr>
      </w:pPr>
      <w:r>
        <w:rPr>
          <w:rFonts w:ascii="Arial" w:eastAsiaTheme="minorEastAsia" w:hAnsi="Arial" w:cs="Arial"/>
          <w:lang w:eastAsia="zh-TW"/>
        </w:rPr>
        <w:t xml:space="preserve">(2) </w:t>
      </w:r>
      <w:r w:rsidR="00E501A0">
        <w:rPr>
          <w:rFonts w:ascii="Arial" w:eastAsiaTheme="minorEastAsia" w:hAnsi="Arial" w:cs="Arial" w:hint="eastAsia"/>
          <w:lang w:eastAsia="zh-TW"/>
        </w:rPr>
        <w:t>I</w:t>
      </w:r>
      <w:r w:rsidR="00E501A0">
        <w:rPr>
          <w:rFonts w:ascii="Arial" w:eastAsiaTheme="minorEastAsia" w:hAnsi="Arial" w:cs="Arial"/>
          <w:lang w:eastAsia="zh-TW"/>
        </w:rPr>
        <w:t xml:space="preserve">f RRC configures </w:t>
      </w:r>
      <w:r w:rsidR="00B26A98">
        <w:rPr>
          <w:rFonts w:ascii="Arial" w:eastAsiaTheme="minorEastAsia" w:hAnsi="Arial" w:cs="Arial"/>
          <w:lang w:eastAsia="zh-TW"/>
        </w:rPr>
        <w:t>multiple TCI states, and a MAC CE activates a</w:t>
      </w:r>
      <w:r w:rsidR="00230E04">
        <w:rPr>
          <w:rFonts w:ascii="Arial" w:eastAsiaTheme="minorEastAsia" w:hAnsi="Arial" w:cs="Arial"/>
          <w:lang w:eastAsia="zh-TW"/>
        </w:rPr>
        <w:t xml:space="preserve"> single TCI state among them, this is the TCI state to use.</w:t>
      </w:r>
    </w:p>
    <w:p w14:paraId="64C48B2C" w14:textId="7E71861E" w:rsidR="00230E04" w:rsidRPr="00E501A0" w:rsidRDefault="002744F5" w:rsidP="00E501A0">
      <w:pPr>
        <w:pStyle w:val="ListParagraph"/>
        <w:numPr>
          <w:ilvl w:val="0"/>
          <w:numId w:val="58"/>
        </w:numPr>
        <w:spacing w:before="120" w:after="120"/>
        <w:jc w:val="both"/>
        <w:rPr>
          <w:rFonts w:ascii="Arial" w:hAnsi="Arial" w:cs="Arial"/>
        </w:rPr>
      </w:pPr>
      <w:r>
        <w:rPr>
          <w:rFonts w:ascii="Arial" w:eastAsiaTheme="minorEastAsia" w:hAnsi="Arial" w:cs="Arial"/>
          <w:lang w:eastAsia="zh-TW"/>
        </w:rPr>
        <w:t xml:space="preserve">(3) </w:t>
      </w:r>
      <w:r w:rsidR="002D667F">
        <w:rPr>
          <w:rFonts w:ascii="Arial" w:eastAsiaTheme="minorEastAsia" w:hAnsi="Arial" w:cs="Arial" w:hint="eastAsia"/>
          <w:lang w:eastAsia="zh-TW"/>
        </w:rPr>
        <w:t>I</w:t>
      </w:r>
      <w:r w:rsidR="002D667F">
        <w:rPr>
          <w:rFonts w:ascii="Arial" w:eastAsiaTheme="minorEastAsia" w:hAnsi="Arial" w:cs="Arial"/>
          <w:lang w:eastAsia="zh-TW"/>
        </w:rPr>
        <w:t xml:space="preserve">f RRC configures multiple TCI states, and a MAC CE activates </w:t>
      </w:r>
      <w:r w:rsidR="009138BE">
        <w:rPr>
          <w:rFonts w:ascii="Arial" w:eastAsiaTheme="minorEastAsia" w:hAnsi="Arial" w:cs="Arial"/>
          <w:lang w:eastAsia="zh-TW"/>
        </w:rPr>
        <w:t>multiple</w:t>
      </w:r>
      <w:r w:rsidR="002D667F">
        <w:rPr>
          <w:rFonts w:ascii="Arial" w:eastAsiaTheme="minorEastAsia" w:hAnsi="Arial" w:cs="Arial"/>
          <w:lang w:eastAsia="zh-TW"/>
        </w:rPr>
        <w:t xml:space="preserve"> </w:t>
      </w:r>
      <w:r w:rsidR="009138BE">
        <w:rPr>
          <w:rFonts w:ascii="Arial" w:eastAsiaTheme="minorEastAsia" w:hAnsi="Arial" w:cs="Arial"/>
          <w:lang w:eastAsia="zh-TW"/>
        </w:rPr>
        <w:t xml:space="preserve">(up to 8) </w:t>
      </w:r>
      <w:r w:rsidR="002D667F">
        <w:rPr>
          <w:rFonts w:ascii="Arial" w:eastAsiaTheme="minorEastAsia" w:hAnsi="Arial" w:cs="Arial"/>
          <w:lang w:eastAsia="zh-TW"/>
        </w:rPr>
        <w:t>TCI state</w:t>
      </w:r>
      <w:r w:rsidR="009138BE">
        <w:rPr>
          <w:rFonts w:ascii="Arial" w:eastAsiaTheme="minorEastAsia" w:hAnsi="Arial" w:cs="Arial"/>
          <w:lang w:eastAsia="zh-TW"/>
        </w:rPr>
        <w:t>s</w:t>
      </w:r>
      <w:r w:rsidR="002D667F">
        <w:rPr>
          <w:rFonts w:ascii="Arial" w:eastAsiaTheme="minorEastAsia" w:hAnsi="Arial" w:cs="Arial"/>
          <w:lang w:eastAsia="zh-TW"/>
        </w:rPr>
        <w:t xml:space="preserve"> among them</w:t>
      </w:r>
      <w:r w:rsidR="00E408E0">
        <w:rPr>
          <w:rFonts w:ascii="Arial" w:eastAsiaTheme="minorEastAsia" w:hAnsi="Arial" w:cs="Arial"/>
          <w:lang w:eastAsia="zh-TW"/>
        </w:rPr>
        <w:t xml:space="preserve">, a DCI is used to </w:t>
      </w:r>
      <w:r w:rsidR="004301AB">
        <w:rPr>
          <w:rFonts w:ascii="Arial" w:eastAsiaTheme="minorEastAsia" w:hAnsi="Arial" w:cs="Arial"/>
          <w:lang w:eastAsia="zh-TW"/>
        </w:rPr>
        <w:t>indicate one TCI state.</w:t>
      </w:r>
    </w:p>
    <w:p w14:paraId="0BDF7F5B" w14:textId="717FE979" w:rsidR="00FF0C7D" w:rsidRDefault="004A537D" w:rsidP="0064066D">
      <w:pPr>
        <w:spacing w:before="120" w:after="120"/>
        <w:jc w:val="both"/>
        <w:rPr>
          <w:rFonts w:ascii="Arial" w:hAnsi="Arial" w:cs="Arial"/>
          <w:sz w:val="20"/>
          <w:szCs w:val="20"/>
        </w:rPr>
      </w:pPr>
      <w:r>
        <w:rPr>
          <w:rFonts w:ascii="Arial" w:hAnsi="Arial" w:cs="Arial"/>
          <w:sz w:val="20"/>
          <w:szCs w:val="20"/>
        </w:rPr>
        <w:t>To indicate target beam upon cell switch, we see the following methods for the above cases:</w:t>
      </w:r>
    </w:p>
    <w:p w14:paraId="7A310670" w14:textId="77777777" w:rsidR="00B048CC" w:rsidRPr="00B048CC" w:rsidRDefault="002D667F" w:rsidP="003124A0">
      <w:pPr>
        <w:pStyle w:val="ListParagraph"/>
        <w:numPr>
          <w:ilvl w:val="0"/>
          <w:numId w:val="57"/>
        </w:numPr>
        <w:spacing w:before="120" w:after="120"/>
        <w:jc w:val="both"/>
        <w:rPr>
          <w:rFonts w:ascii="Arial" w:hAnsi="Arial" w:cs="Arial"/>
        </w:rPr>
      </w:pPr>
      <w:r>
        <w:rPr>
          <w:rFonts w:ascii="Arial" w:eastAsiaTheme="minorEastAsia" w:hAnsi="Arial" w:cs="Arial"/>
          <w:lang w:eastAsia="zh-TW"/>
        </w:rPr>
        <w:t>In (1), a MAC CE can indicate target cell. If no</w:t>
      </w:r>
      <w:r>
        <w:rPr>
          <w:rFonts w:ascii="Arial" w:eastAsiaTheme="minorEastAsia" w:hAnsi="Arial" w:cs="Arial" w:hint="eastAsia"/>
          <w:lang w:eastAsia="zh-TW"/>
        </w:rPr>
        <w:t xml:space="preserve"> TCI s</w:t>
      </w:r>
      <w:r>
        <w:rPr>
          <w:rFonts w:ascii="Arial" w:eastAsiaTheme="minorEastAsia" w:hAnsi="Arial" w:cs="Arial"/>
          <w:lang w:eastAsia="zh-TW"/>
        </w:rPr>
        <w:t>tate is indicated</w:t>
      </w:r>
      <w:r w:rsidR="009138BE">
        <w:rPr>
          <w:rFonts w:ascii="Arial" w:eastAsiaTheme="minorEastAsia" w:hAnsi="Arial" w:cs="Arial"/>
          <w:lang w:eastAsia="zh-TW"/>
        </w:rPr>
        <w:t xml:space="preserve">, the TCI state in RRC configuration is the target beam. </w:t>
      </w:r>
    </w:p>
    <w:p w14:paraId="6D35FFBE" w14:textId="6E48D608" w:rsidR="009138BE" w:rsidRPr="00367871" w:rsidRDefault="009138BE" w:rsidP="003124A0">
      <w:pPr>
        <w:pStyle w:val="ListParagraph"/>
        <w:numPr>
          <w:ilvl w:val="0"/>
          <w:numId w:val="57"/>
        </w:numPr>
        <w:spacing w:before="120" w:after="120"/>
        <w:jc w:val="both"/>
        <w:rPr>
          <w:rFonts w:ascii="Arial" w:hAnsi="Arial" w:cs="Arial"/>
        </w:rPr>
      </w:pPr>
      <w:r>
        <w:rPr>
          <w:rFonts w:ascii="Arial" w:eastAsiaTheme="minorEastAsia" w:hAnsi="Arial" w:cs="Arial" w:hint="eastAsia"/>
          <w:lang w:eastAsia="zh-TW"/>
        </w:rPr>
        <w:t>I</w:t>
      </w:r>
      <w:r>
        <w:rPr>
          <w:rFonts w:ascii="Arial" w:eastAsiaTheme="minorEastAsia" w:hAnsi="Arial" w:cs="Arial"/>
          <w:lang w:eastAsia="zh-TW"/>
        </w:rPr>
        <w:t xml:space="preserve">n (2), a MAC CE can indicate target cell. </w:t>
      </w:r>
      <w:r w:rsidR="001C6765">
        <w:rPr>
          <w:rFonts w:ascii="Arial" w:eastAsiaTheme="minorEastAsia" w:hAnsi="Arial" w:cs="Arial"/>
          <w:lang w:eastAsia="zh-TW"/>
        </w:rPr>
        <w:t>T</w:t>
      </w:r>
      <w:r>
        <w:rPr>
          <w:rFonts w:ascii="Arial" w:eastAsiaTheme="minorEastAsia" w:hAnsi="Arial" w:cs="Arial"/>
          <w:lang w:eastAsia="zh-TW"/>
        </w:rPr>
        <w:t>he (only) active TCI state</w:t>
      </w:r>
      <w:r w:rsidR="00C4640B">
        <w:rPr>
          <w:rFonts w:ascii="Arial" w:eastAsiaTheme="minorEastAsia" w:hAnsi="Arial" w:cs="Arial"/>
          <w:lang w:eastAsia="zh-TW"/>
        </w:rPr>
        <w:t xml:space="preserve"> indicated in the MAC CE</w:t>
      </w:r>
      <w:r>
        <w:rPr>
          <w:rFonts w:ascii="Arial" w:eastAsiaTheme="minorEastAsia" w:hAnsi="Arial" w:cs="Arial"/>
          <w:lang w:eastAsia="zh-TW"/>
        </w:rPr>
        <w:t xml:space="preserve"> is the target beam</w:t>
      </w:r>
      <w:r w:rsidR="001C6765">
        <w:rPr>
          <w:rFonts w:ascii="Arial" w:eastAsiaTheme="minorEastAsia" w:hAnsi="Arial" w:cs="Arial"/>
          <w:lang w:eastAsia="zh-TW"/>
        </w:rPr>
        <w:t xml:space="preserve"> after cell switch</w:t>
      </w:r>
      <w:r>
        <w:rPr>
          <w:rFonts w:ascii="Arial" w:eastAsiaTheme="minorEastAsia" w:hAnsi="Arial" w:cs="Arial"/>
          <w:lang w:eastAsia="zh-TW"/>
        </w:rPr>
        <w:t xml:space="preserve">. </w:t>
      </w:r>
    </w:p>
    <w:p w14:paraId="20922362" w14:textId="5F52D598" w:rsidR="00367871" w:rsidRPr="009138BE" w:rsidRDefault="00FF6290" w:rsidP="00367871">
      <w:pPr>
        <w:pStyle w:val="ListParagraph"/>
        <w:numPr>
          <w:ilvl w:val="1"/>
          <w:numId w:val="57"/>
        </w:numPr>
        <w:spacing w:before="120" w:after="120"/>
        <w:jc w:val="both"/>
        <w:rPr>
          <w:rFonts w:ascii="Arial" w:hAnsi="Arial" w:cs="Arial"/>
        </w:rPr>
      </w:pPr>
      <w:r>
        <w:rPr>
          <w:rFonts w:ascii="Arial" w:eastAsiaTheme="minorEastAsia" w:hAnsi="Arial" w:cs="Arial"/>
          <w:lang w:eastAsia="zh-TW"/>
        </w:rPr>
        <w:t>FFS if t</w:t>
      </w:r>
      <w:r w:rsidR="00367871">
        <w:rPr>
          <w:rFonts w:ascii="Arial" w:eastAsiaTheme="minorEastAsia" w:hAnsi="Arial" w:cs="Arial"/>
          <w:lang w:eastAsia="zh-TW"/>
        </w:rPr>
        <w:t>he MAC CE can also indicate a</w:t>
      </w:r>
      <w:r>
        <w:rPr>
          <w:rFonts w:ascii="Arial" w:eastAsiaTheme="minorEastAsia" w:hAnsi="Arial" w:cs="Arial"/>
          <w:lang w:eastAsia="zh-TW"/>
        </w:rPr>
        <w:t>nother</w:t>
      </w:r>
      <w:r w:rsidR="00367871">
        <w:rPr>
          <w:rFonts w:ascii="Arial" w:eastAsiaTheme="minorEastAsia" w:hAnsi="Arial" w:cs="Arial"/>
          <w:lang w:eastAsia="zh-TW"/>
        </w:rPr>
        <w:t xml:space="preserve"> TCI state codepoint</w:t>
      </w:r>
      <w:r>
        <w:rPr>
          <w:rFonts w:ascii="Arial" w:eastAsiaTheme="minorEastAsia" w:hAnsi="Arial" w:cs="Arial"/>
          <w:lang w:eastAsia="zh-TW"/>
        </w:rPr>
        <w:t xml:space="preserve"> (</w:t>
      </w:r>
      <w:r w:rsidR="00265634">
        <w:rPr>
          <w:rFonts w:ascii="Arial" w:eastAsiaTheme="minorEastAsia" w:hAnsi="Arial" w:cs="Arial"/>
          <w:lang w:eastAsia="zh-TW"/>
        </w:rPr>
        <w:t>in RRC configuration but not active TCI state list)</w:t>
      </w:r>
      <w:r w:rsidR="00367871">
        <w:rPr>
          <w:rFonts w:ascii="Arial" w:eastAsiaTheme="minorEastAsia" w:hAnsi="Arial" w:cs="Arial"/>
          <w:lang w:eastAsia="zh-TW"/>
        </w:rPr>
        <w:t>.</w:t>
      </w:r>
    </w:p>
    <w:p w14:paraId="6A981451" w14:textId="77777777" w:rsidR="004301AB" w:rsidRPr="004301AB" w:rsidRDefault="009138BE" w:rsidP="003124A0">
      <w:pPr>
        <w:pStyle w:val="ListParagraph"/>
        <w:numPr>
          <w:ilvl w:val="0"/>
          <w:numId w:val="57"/>
        </w:numPr>
        <w:spacing w:before="120" w:after="120"/>
        <w:jc w:val="both"/>
        <w:rPr>
          <w:rFonts w:ascii="Arial" w:hAnsi="Arial" w:cs="Arial"/>
        </w:rPr>
      </w:pPr>
      <w:r>
        <w:rPr>
          <w:rFonts w:ascii="Arial" w:eastAsiaTheme="minorEastAsia" w:hAnsi="Arial" w:cs="Arial" w:hint="eastAsia"/>
          <w:lang w:eastAsia="zh-TW"/>
        </w:rPr>
        <w:t>I</w:t>
      </w:r>
      <w:r>
        <w:rPr>
          <w:rFonts w:ascii="Arial" w:eastAsiaTheme="minorEastAsia" w:hAnsi="Arial" w:cs="Arial"/>
          <w:lang w:eastAsia="zh-TW"/>
        </w:rPr>
        <w:t xml:space="preserve">n (3), </w:t>
      </w:r>
      <w:r w:rsidR="004301AB">
        <w:rPr>
          <w:rFonts w:ascii="Arial" w:eastAsiaTheme="minorEastAsia" w:hAnsi="Arial" w:cs="Arial"/>
          <w:lang w:eastAsia="zh-TW"/>
        </w:rPr>
        <w:t xml:space="preserve">a MAC CE can indicate target cell as well as target beam. </w:t>
      </w:r>
    </w:p>
    <w:p w14:paraId="686CBB17" w14:textId="46A77EEF" w:rsidR="009138BE" w:rsidRPr="004301AB" w:rsidRDefault="004301AB" w:rsidP="004301AB">
      <w:pPr>
        <w:pStyle w:val="ListParagraph"/>
        <w:numPr>
          <w:ilvl w:val="1"/>
          <w:numId w:val="57"/>
        </w:numPr>
        <w:spacing w:before="120" w:after="120"/>
        <w:jc w:val="both"/>
        <w:rPr>
          <w:rFonts w:ascii="Arial" w:hAnsi="Arial" w:cs="Arial"/>
        </w:rPr>
      </w:pPr>
      <w:r>
        <w:rPr>
          <w:rFonts w:ascii="Arial" w:eastAsiaTheme="minorEastAsia" w:hAnsi="Arial" w:cs="Arial"/>
          <w:lang w:eastAsia="zh-TW"/>
        </w:rPr>
        <w:t>Alternatively, we may use a MAC CE indicating target cell, plus a DCI indicating beam, but having a single signal indicating both is preferable</w:t>
      </w:r>
      <w:r w:rsidR="00367871">
        <w:rPr>
          <w:rFonts w:ascii="Arial" w:eastAsiaTheme="minorEastAsia" w:hAnsi="Arial" w:cs="Arial"/>
          <w:lang w:eastAsia="zh-TW"/>
        </w:rPr>
        <w:t>.</w:t>
      </w:r>
    </w:p>
    <w:p w14:paraId="7FEF91BB" w14:textId="64B6F916" w:rsidR="004301AB" w:rsidRPr="004352FB" w:rsidRDefault="004301AB" w:rsidP="004301AB">
      <w:pPr>
        <w:pStyle w:val="ListParagraph"/>
        <w:numPr>
          <w:ilvl w:val="1"/>
          <w:numId w:val="57"/>
        </w:numPr>
        <w:spacing w:before="120" w:after="120"/>
        <w:jc w:val="both"/>
        <w:rPr>
          <w:rFonts w:ascii="Arial" w:hAnsi="Arial" w:cs="Arial"/>
        </w:rPr>
      </w:pPr>
      <w:r>
        <w:rPr>
          <w:rFonts w:ascii="Arial" w:eastAsiaTheme="minorEastAsia" w:hAnsi="Arial" w:cs="Arial" w:hint="eastAsia"/>
          <w:lang w:eastAsia="zh-TW"/>
        </w:rPr>
        <w:t>I</w:t>
      </w:r>
      <w:r>
        <w:rPr>
          <w:rFonts w:ascii="Arial" w:eastAsiaTheme="minorEastAsia" w:hAnsi="Arial" w:cs="Arial"/>
          <w:lang w:eastAsia="zh-TW"/>
        </w:rPr>
        <w:t xml:space="preserve">f TCI states of different cells are in the same active TCI state list, a DCI may indicate both target cell and beam. But this may be confused with Rel-17 ICBM with </w:t>
      </w:r>
      <w:r w:rsidRPr="006836CD">
        <w:rPr>
          <w:rFonts w:ascii="Arial" w:eastAsiaTheme="minorEastAsia" w:hAnsi="Arial" w:cs="Arial"/>
          <w:i/>
          <w:iCs/>
          <w:lang w:eastAsia="zh-TW"/>
        </w:rPr>
        <w:t>additionalPCI</w:t>
      </w:r>
      <w:r w:rsidR="006836CD">
        <w:rPr>
          <w:rFonts w:ascii="Arial" w:eastAsiaTheme="minorEastAsia" w:hAnsi="Arial" w:cs="Arial"/>
          <w:lang w:eastAsia="zh-TW"/>
        </w:rPr>
        <w:t>.</w:t>
      </w:r>
      <w:r w:rsidR="00AE5563">
        <w:rPr>
          <w:rFonts w:ascii="Arial" w:eastAsiaTheme="minorEastAsia" w:hAnsi="Arial" w:cs="Arial"/>
          <w:lang w:eastAsia="zh-TW"/>
        </w:rPr>
        <w:t xml:space="preserve"> Thus</w:t>
      </w:r>
      <w:r w:rsidR="00C4640B">
        <w:rPr>
          <w:rFonts w:ascii="Arial" w:eastAsiaTheme="minorEastAsia" w:hAnsi="Arial" w:cs="Arial"/>
          <w:lang w:eastAsia="zh-TW"/>
        </w:rPr>
        <w:t xml:space="preserve">, </w:t>
      </w:r>
      <w:r w:rsidR="00AE5563">
        <w:rPr>
          <w:rFonts w:ascii="Arial" w:eastAsiaTheme="minorEastAsia" w:hAnsi="Arial" w:cs="Arial"/>
          <w:lang w:eastAsia="zh-TW"/>
        </w:rPr>
        <w:t xml:space="preserve">we assume that TCI states of candidate cell is in a separate list; this can be </w:t>
      </w:r>
      <w:r w:rsidR="00265634">
        <w:rPr>
          <w:rFonts w:ascii="Arial" w:eastAsiaTheme="minorEastAsia" w:hAnsi="Arial" w:cs="Arial"/>
          <w:lang w:eastAsia="zh-TW"/>
        </w:rPr>
        <w:t>further confirmed via discussion on RRC modelling for candidate cells</w:t>
      </w:r>
      <w:r w:rsidR="00AE5563">
        <w:rPr>
          <w:rFonts w:ascii="Arial" w:eastAsiaTheme="minorEastAsia" w:hAnsi="Arial" w:cs="Arial"/>
          <w:lang w:eastAsia="zh-TW"/>
        </w:rPr>
        <w:t>.</w:t>
      </w:r>
    </w:p>
    <w:p w14:paraId="7773D3F0" w14:textId="2CBE1817" w:rsidR="004352FB" w:rsidRPr="00265634" w:rsidRDefault="001C6765" w:rsidP="004352FB">
      <w:pPr>
        <w:spacing w:before="120" w:after="120"/>
        <w:jc w:val="both"/>
        <w:rPr>
          <w:rFonts w:ascii="Arial" w:hAnsi="Arial" w:cs="Arial"/>
          <w:sz w:val="20"/>
          <w:szCs w:val="20"/>
        </w:rPr>
      </w:pPr>
      <w:r w:rsidRPr="00265634">
        <w:rPr>
          <w:rFonts w:ascii="Arial" w:hAnsi="Arial" w:cs="Arial" w:hint="eastAsia"/>
          <w:sz w:val="20"/>
          <w:szCs w:val="20"/>
        </w:rPr>
        <w:t>T</w:t>
      </w:r>
      <w:r w:rsidRPr="00265634">
        <w:rPr>
          <w:rFonts w:ascii="Arial" w:hAnsi="Arial" w:cs="Arial"/>
          <w:sz w:val="20"/>
          <w:szCs w:val="20"/>
        </w:rPr>
        <w:t xml:space="preserve">he </w:t>
      </w:r>
      <w:r w:rsidR="00265634" w:rsidRPr="00265634">
        <w:rPr>
          <w:rFonts w:ascii="Arial" w:hAnsi="Arial" w:cs="Arial"/>
          <w:sz w:val="20"/>
          <w:szCs w:val="20"/>
        </w:rPr>
        <w:t xml:space="preserve">abovementioned cases for </w:t>
      </w:r>
      <w:bookmarkStart w:id="6" w:name="_Hlk115439837"/>
      <w:r w:rsidRPr="00265634">
        <w:rPr>
          <w:rFonts w:ascii="Arial" w:hAnsi="Arial" w:cs="Arial"/>
          <w:sz w:val="20"/>
          <w:szCs w:val="20"/>
        </w:rPr>
        <w:t xml:space="preserve">beam </w:t>
      </w:r>
      <w:r w:rsidR="00265634" w:rsidRPr="00265634">
        <w:rPr>
          <w:rFonts w:ascii="Arial" w:hAnsi="Arial" w:cs="Arial"/>
          <w:sz w:val="20"/>
          <w:szCs w:val="20"/>
        </w:rPr>
        <w:t>indication</w:t>
      </w:r>
      <w:r w:rsidRPr="00265634">
        <w:rPr>
          <w:rFonts w:ascii="Arial" w:hAnsi="Arial" w:cs="Arial"/>
          <w:sz w:val="20"/>
          <w:szCs w:val="20"/>
        </w:rPr>
        <w:t xml:space="preserve"> </w:t>
      </w:r>
      <w:r w:rsidR="00265634" w:rsidRPr="00265634">
        <w:rPr>
          <w:rFonts w:ascii="Arial" w:hAnsi="Arial" w:cs="Arial"/>
          <w:sz w:val="20"/>
          <w:szCs w:val="20"/>
        </w:rPr>
        <w:t>upon cell switch</w:t>
      </w:r>
      <w:bookmarkEnd w:id="6"/>
      <w:r w:rsidR="00265634" w:rsidRPr="00265634">
        <w:rPr>
          <w:rFonts w:ascii="Arial" w:hAnsi="Arial" w:cs="Arial"/>
          <w:sz w:val="20"/>
          <w:szCs w:val="20"/>
        </w:rPr>
        <w:t xml:space="preserve"> are illustrated below.</w:t>
      </w:r>
    </w:p>
    <w:p w14:paraId="573C842F" w14:textId="2115B2D2" w:rsidR="004352FB" w:rsidRDefault="007F63BE" w:rsidP="004352FB">
      <w:pPr>
        <w:spacing w:before="120" w:after="120"/>
        <w:jc w:val="center"/>
        <w:rPr>
          <w:rFonts w:ascii="Arial" w:hAnsi="Arial" w:cs="Arial"/>
          <w:sz w:val="20"/>
          <w:szCs w:val="20"/>
        </w:rPr>
      </w:pPr>
      <w:r>
        <w:rPr>
          <w:rFonts w:ascii="Arial" w:hAnsi="Arial" w:cs="Arial"/>
          <w:noProof/>
          <w:sz w:val="20"/>
          <w:szCs w:val="20"/>
        </w:rPr>
        <w:drawing>
          <wp:inline distT="0" distB="0" distL="0" distR="0" wp14:anchorId="295C2DE2" wp14:editId="472993BE">
            <wp:extent cx="5594287" cy="2456822"/>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3542" cy="2504803"/>
                    </a:xfrm>
                    <a:prstGeom prst="rect">
                      <a:avLst/>
                    </a:prstGeom>
                    <a:noFill/>
                  </pic:spPr>
                </pic:pic>
              </a:graphicData>
            </a:graphic>
          </wp:inline>
        </w:drawing>
      </w:r>
    </w:p>
    <w:p w14:paraId="5879F11D" w14:textId="26093E1E" w:rsidR="007A10C1" w:rsidRPr="007A10C1" w:rsidRDefault="007A10C1" w:rsidP="004352FB">
      <w:pPr>
        <w:spacing w:before="120" w:after="120"/>
        <w:jc w:val="center"/>
        <w:rPr>
          <w:rFonts w:ascii="Arial" w:hAnsi="Arial" w:cs="Arial"/>
          <w:b/>
          <w:bCs/>
          <w:sz w:val="20"/>
          <w:szCs w:val="20"/>
        </w:rPr>
      </w:pPr>
      <w:r w:rsidRPr="007A10C1">
        <w:rPr>
          <w:rFonts w:ascii="Arial" w:hAnsi="Arial" w:cs="Arial"/>
          <w:b/>
          <w:bCs/>
          <w:sz w:val="20"/>
          <w:szCs w:val="20"/>
        </w:rPr>
        <w:t xml:space="preserve">Figure </w:t>
      </w:r>
      <w:r w:rsidR="002F56C1">
        <w:rPr>
          <w:rFonts w:ascii="Arial" w:hAnsi="Arial" w:cs="Arial"/>
          <w:b/>
          <w:bCs/>
          <w:sz w:val="20"/>
          <w:szCs w:val="20"/>
        </w:rPr>
        <w:t>1.</w:t>
      </w:r>
      <w:r w:rsidR="002F56C1">
        <w:rPr>
          <w:rFonts w:ascii="Arial" w:hAnsi="Arial" w:cs="Arial"/>
          <w:b/>
          <w:bCs/>
          <w:sz w:val="20"/>
          <w:szCs w:val="20"/>
        </w:rPr>
        <w:tab/>
        <w:t>B</w:t>
      </w:r>
      <w:r w:rsidR="002F56C1" w:rsidRPr="002F56C1">
        <w:rPr>
          <w:rFonts w:ascii="Arial" w:hAnsi="Arial" w:cs="Arial"/>
          <w:b/>
          <w:bCs/>
          <w:sz w:val="20"/>
          <w:szCs w:val="20"/>
        </w:rPr>
        <w:t>eam indication upon cell switch</w:t>
      </w:r>
    </w:p>
    <w:p w14:paraId="6B7E43CE" w14:textId="621344FA" w:rsidR="002D667F" w:rsidRPr="004301AB" w:rsidRDefault="002D667F" w:rsidP="0064066D">
      <w:pPr>
        <w:spacing w:before="120" w:after="120"/>
        <w:jc w:val="both"/>
        <w:rPr>
          <w:rFonts w:ascii="Arial" w:hAnsi="Arial" w:cs="Arial"/>
          <w:b/>
          <w:bCs/>
          <w:sz w:val="20"/>
          <w:szCs w:val="20"/>
        </w:rPr>
      </w:pPr>
      <w:r w:rsidRPr="004301AB">
        <w:rPr>
          <w:rFonts w:ascii="Arial" w:hAnsi="Arial" w:cs="Arial" w:hint="eastAsia"/>
          <w:b/>
          <w:bCs/>
          <w:sz w:val="20"/>
          <w:szCs w:val="20"/>
        </w:rPr>
        <w:lastRenderedPageBreak/>
        <w:t>P</w:t>
      </w:r>
      <w:r w:rsidRPr="004301AB">
        <w:rPr>
          <w:rFonts w:ascii="Arial" w:hAnsi="Arial" w:cs="Arial"/>
          <w:b/>
          <w:bCs/>
          <w:sz w:val="20"/>
          <w:szCs w:val="20"/>
        </w:rPr>
        <w:t>roposal 3:</w:t>
      </w:r>
      <w:r w:rsidR="00EC6B74">
        <w:rPr>
          <w:rFonts w:ascii="Arial" w:hAnsi="Arial" w:cs="Arial"/>
          <w:b/>
          <w:bCs/>
          <w:sz w:val="20"/>
          <w:szCs w:val="20"/>
        </w:rPr>
        <w:t xml:space="preserve"> </w:t>
      </w:r>
      <w:r w:rsidRPr="004301AB">
        <w:rPr>
          <w:rFonts w:ascii="Arial" w:hAnsi="Arial" w:cs="Arial"/>
          <w:b/>
          <w:bCs/>
          <w:sz w:val="20"/>
          <w:szCs w:val="20"/>
        </w:rPr>
        <w:t xml:space="preserve">In </w:t>
      </w:r>
      <w:r w:rsidR="009138BE" w:rsidRPr="004301AB">
        <w:rPr>
          <w:rFonts w:ascii="Arial" w:hAnsi="Arial" w:cs="Arial"/>
          <w:b/>
          <w:bCs/>
          <w:sz w:val="20"/>
          <w:szCs w:val="20"/>
        </w:rPr>
        <w:t>L1/L2 mobility, a</w:t>
      </w:r>
      <w:r w:rsidRPr="004301AB">
        <w:rPr>
          <w:rFonts w:ascii="Arial" w:hAnsi="Arial" w:cs="Arial"/>
          <w:b/>
          <w:bCs/>
          <w:sz w:val="20"/>
          <w:szCs w:val="20"/>
        </w:rPr>
        <w:t xml:space="preserve"> single signal is used</w:t>
      </w:r>
      <w:r w:rsidR="004301AB" w:rsidRPr="004301AB">
        <w:rPr>
          <w:rFonts w:ascii="Arial" w:hAnsi="Arial" w:cs="Arial"/>
          <w:b/>
          <w:bCs/>
          <w:sz w:val="20"/>
          <w:szCs w:val="20"/>
        </w:rPr>
        <w:t xml:space="preserve"> to indicate cell switch and beam switch.</w:t>
      </w:r>
    </w:p>
    <w:p w14:paraId="564FE378" w14:textId="6CB56124" w:rsidR="00B9099F" w:rsidRDefault="007E2FE2" w:rsidP="0064066D">
      <w:pPr>
        <w:spacing w:before="120" w:after="120"/>
        <w:jc w:val="both"/>
        <w:rPr>
          <w:rFonts w:ascii="Arial" w:hAnsi="Arial" w:cs="Arial"/>
          <w:b/>
          <w:bCs/>
          <w:sz w:val="20"/>
          <w:szCs w:val="20"/>
        </w:rPr>
      </w:pPr>
      <w:r w:rsidRPr="004301AB">
        <w:rPr>
          <w:rFonts w:ascii="Arial" w:hAnsi="Arial" w:cs="Arial" w:hint="eastAsia"/>
          <w:b/>
          <w:bCs/>
          <w:sz w:val="20"/>
          <w:szCs w:val="20"/>
        </w:rPr>
        <w:t>P</w:t>
      </w:r>
      <w:r w:rsidRPr="004301AB">
        <w:rPr>
          <w:rFonts w:ascii="Arial" w:hAnsi="Arial" w:cs="Arial"/>
          <w:b/>
          <w:bCs/>
          <w:sz w:val="20"/>
          <w:szCs w:val="20"/>
        </w:rPr>
        <w:t xml:space="preserve">roposal </w:t>
      </w:r>
      <w:r w:rsidR="003170B0" w:rsidRPr="004301AB">
        <w:rPr>
          <w:rFonts w:ascii="Arial" w:hAnsi="Arial" w:cs="Arial"/>
          <w:b/>
          <w:bCs/>
          <w:sz w:val="20"/>
          <w:szCs w:val="20"/>
        </w:rPr>
        <w:t>4</w:t>
      </w:r>
      <w:r w:rsidRPr="004301AB">
        <w:rPr>
          <w:rFonts w:ascii="Arial" w:hAnsi="Arial" w:cs="Arial"/>
          <w:b/>
          <w:bCs/>
          <w:sz w:val="20"/>
          <w:szCs w:val="20"/>
        </w:rPr>
        <w:t>:</w:t>
      </w:r>
      <w:r w:rsidR="00EC6B74">
        <w:rPr>
          <w:rFonts w:ascii="Arial" w:hAnsi="Arial" w:cs="Arial"/>
          <w:b/>
          <w:bCs/>
          <w:sz w:val="20"/>
          <w:szCs w:val="20"/>
        </w:rPr>
        <w:t xml:space="preserve"> </w:t>
      </w:r>
      <w:r w:rsidR="00340282" w:rsidRPr="004301AB">
        <w:rPr>
          <w:rFonts w:ascii="Arial" w:hAnsi="Arial" w:cs="Arial"/>
          <w:b/>
          <w:bCs/>
          <w:sz w:val="20"/>
          <w:szCs w:val="20"/>
        </w:rPr>
        <w:t xml:space="preserve">Cell switch in L1/L2-based </w:t>
      </w:r>
      <w:r w:rsidR="009138BE" w:rsidRPr="004301AB">
        <w:rPr>
          <w:rFonts w:ascii="Arial" w:hAnsi="Arial" w:cs="Arial"/>
          <w:b/>
          <w:bCs/>
          <w:sz w:val="20"/>
          <w:szCs w:val="20"/>
        </w:rPr>
        <w:t>is based on MAC CE.</w:t>
      </w:r>
    </w:p>
    <w:p w14:paraId="526F8B12" w14:textId="194E7216" w:rsidR="008B3FDE" w:rsidRDefault="008B3FDE" w:rsidP="008B3FDE">
      <w:pPr>
        <w:pStyle w:val="Heading2"/>
      </w:pPr>
      <w:r>
        <w:t>TA Management</w:t>
      </w:r>
    </w:p>
    <w:p w14:paraId="65E52B19" w14:textId="00641DC0" w:rsidR="00265634" w:rsidRDefault="00265634" w:rsidP="0064066D">
      <w:pPr>
        <w:spacing w:before="120" w:after="120"/>
        <w:jc w:val="both"/>
        <w:rPr>
          <w:rFonts w:ascii="Arial" w:hAnsi="Arial" w:cs="Arial"/>
          <w:sz w:val="20"/>
          <w:szCs w:val="20"/>
        </w:rPr>
      </w:pPr>
      <w:r w:rsidRPr="001A67B6">
        <w:rPr>
          <w:rFonts w:ascii="Arial" w:hAnsi="Arial" w:cs="Arial" w:hint="eastAsia"/>
          <w:sz w:val="20"/>
          <w:szCs w:val="20"/>
        </w:rPr>
        <w:t>T</w:t>
      </w:r>
      <w:r w:rsidRPr="001A67B6">
        <w:rPr>
          <w:rFonts w:ascii="Arial" w:hAnsi="Arial" w:cs="Arial"/>
          <w:sz w:val="20"/>
          <w:szCs w:val="20"/>
        </w:rPr>
        <w:t>iming advance man</w:t>
      </w:r>
      <w:r w:rsidR="00CC07E8" w:rsidRPr="001A67B6">
        <w:rPr>
          <w:rFonts w:ascii="Arial" w:hAnsi="Arial" w:cs="Arial"/>
          <w:sz w:val="20"/>
          <w:szCs w:val="20"/>
        </w:rPr>
        <w:t xml:space="preserve">agement is another </w:t>
      </w:r>
      <w:r w:rsidR="001A67B6" w:rsidRPr="001A67B6">
        <w:rPr>
          <w:rFonts w:ascii="Arial" w:hAnsi="Arial" w:cs="Arial"/>
          <w:sz w:val="20"/>
          <w:szCs w:val="20"/>
        </w:rPr>
        <w:t xml:space="preserve">RAN1-led </w:t>
      </w:r>
      <w:r w:rsidR="00CC07E8" w:rsidRPr="001A67B6">
        <w:rPr>
          <w:rFonts w:ascii="Arial" w:hAnsi="Arial" w:cs="Arial"/>
          <w:sz w:val="20"/>
          <w:szCs w:val="20"/>
        </w:rPr>
        <w:t xml:space="preserve">bullet </w:t>
      </w:r>
      <w:r w:rsidR="001A67B6" w:rsidRPr="001A67B6">
        <w:rPr>
          <w:rFonts w:ascii="Arial" w:hAnsi="Arial" w:cs="Arial"/>
          <w:sz w:val="20"/>
          <w:szCs w:val="20"/>
        </w:rPr>
        <w:t xml:space="preserve">with </w:t>
      </w:r>
      <w:r w:rsidR="00606299">
        <w:rPr>
          <w:rFonts w:ascii="Arial" w:hAnsi="Arial" w:cs="Arial"/>
          <w:sz w:val="20"/>
          <w:szCs w:val="20"/>
        </w:rPr>
        <w:t xml:space="preserve">potential </w:t>
      </w:r>
      <w:r w:rsidR="001A67B6">
        <w:rPr>
          <w:rFonts w:ascii="Arial" w:hAnsi="Arial" w:cs="Arial"/>
          <w:sz w:val="20"/>
          <w:szCs w:val="20"/>
        </w:rPr>
        <w:t xml:space="preserve">RAN2 </w:t>
      </w:r>
      <w:r w:rsidR="00606299">
        <w:rPr>
          <w:rFonts w:ascii="Arial" w:hAnsi="Arial" w:cs="Arial"/>
          <w:sz w:val="20"/>
          <w:szCs w:val="20"/>
        </w:rPr>
        <w:t xml:space="preserve">involvement. According to </w:t>
      </w:r>
      <w:r w:rsidR="00B32A8F">
        <w:rPr>
          <w:rFonts w:ascii="Arial" w:hAnsi="Arial" w:cs="Arial"/>
          <w:sz w:val="20"/>
          <w:szCs w:val="20"/>
        </w:rPr>
        <w:t xml:space="preserve">the mobility latency time chart captured in the TS 38.300 running CR [2], </w:t>
      </w:r>
      <w:r w:rsidR="00530E1B">
        <w:rPr>
          <w:rFonts w:ascii="Arial" w:hAnsi="Arial" w:cs="Arial"/>
          <w:sz w:val="20"/>
          <w:szCs w:val="20"/>
        </w:rPr>
        <w:t>TA acquisition (UL synchronization) towards target cell contributes a significant part of handover interruption, and the length is uncertain. Therefore</w:t>
      </w:r>
      <w:r w:rsidR="00A54EC1">
        <w:rPr>
          <w:rFonts w:ascii="Arial" w:hAnsi="Arial" w:cs="Arial"/>
          <w:sz w:val="20"/>
          <w:szCs w:val="20"/>
        </w:rPr>
        <w:t>,</w:t>
      </w:r>
      <w:r w:rsidR="00530E1B">
        <w:rPr>
          <w:rFonts w:ascii="Arial" w:hAnsi="Arial" w:cs="Arial"/>
          <w:sz w:val="20"/>
          <w:szCs w:val="20"/>
        </w:rPr>
        <w:t xml:space="preserve"> UE may acquire TA for potential target cell</w:t>
      </w:r>
      <w:r w:rsidR="00A54EC1">
        <w:rPr>
          <w:rFonts w:ascii="Arial" w:hAnsi="Arial" w:cs="Arial"/>
          <w:sz w:val="20"/>
          <w:szCs w:val="20"/>
        </w:rPr>
        <w:t xml:space="preserve"> before the cell switch command, if possible. The related enhancements (e.g., RACH towards a neighbor cell) belong to RAN1 scope, and </w:t>
      </w:r>
      <w:r w:rsidR="000B5672">
        <w:rPr>
          <w:rFonts w:ascii="Arial" w:hAnsi="Arial" w:cs="Arial"/>
          <w:sz w:val="20"/>
          <w:szCs w:val="20"/>
        </w:rPr>
        <w:t xml:space="preserve">we think this </w:t>
      </w:r>
      <w:r w:rsidR="00A54EC1">
        <w:rPr>
          <w:rFonts w:ascii="Arial" w:hAnsi="Arial" w:cs="Arial"/>
          <w:sz w:val="20"/>
          <w:szCs w:val="20"/>
        </w:rPr>
        <w:t xml:space="preserve">can be discussed in RAN1 without RAN2 input. </w:t>
      </w:r>
    </w:p>
    <w:p w14:paraId="43646BE4" w14:textId="47613AC1" w:rsidR="006E6FA6" w:rsidRPr="009C0EAB" w:rsidRDefault="006E6FA6" w:rsidP="006E6FA6">
      <w:pPr>
        <w:spacing w:before="120" w:after="120"/>
        <w:jc w:val="both"/>
        <w:rPr>
          <w:rFonts w:ascii="Arial" w:hAnsi="Arial" w:cs="Arial"/>
          <w:i/>
          <w:iCs/>
          <w:sz w:val="20"/>
          <w:szCs w:val="20"/>
        </w:rPr>
      </w:pPr>
      <w:r w:rsidRPr="009C0EAB">
        <w:rPr>
          <w:rFonts w:ascii="Arial" w:hAnsi="Arial" w:cs="Arial"/>
          <w:i/>
          <w:iCs/>
          <w:sz w:val="20"/>
          <w:szCs w:val="20"/>
        </w:rPr>
        <w:t xml:space="preserve">Observation </w:t>
      </w:r>
      <w:r>
        <w:rPr>
          <w:rFonts w:ascii="Arial" w:hAnsi="Arial" w:cs="Arial"/>
          <w:i/>
          <w:iCs/>
          <w:sz w:val="20"/>
          <w:szCs w:val="20"/>
        </w:rPr>
        <w:t>2</w:t>
      </w:r>
      <w:r w:rsidRPr="009C0EAB">
        <w:rPr>
          <w:rFonts w:ascii="Arial" w:hAnsi="Arial" w:cs="Arial"/>
          <w:i/>
          <w:iCs/>
          <w:sz w:val="20"/>
          <w:szCs w:val="20"/>
        </w:rPr>
        <w:t>:</w:t>
      </w:r>
      <w:r w:rsidRPr="009C0EAB">
        <w:rPr>
          <w:rFonts w:ascii="Arial" w:hAnsi="Arial" w:cs="Arial"/>
          <w:i/>
          <w:iCs/>
          <w:sz w:val="20"/>
          <w:szCs w:val="20"/>
        </w:rPr>
        <w:tab/>
        <w:t xml:space="preserve">RAN1 can discuss </w:t>
      </w:r>
      <w:r w:rsidR="00530E1B">
        <w:rPr>
          <w:rFonts w:ascii="Arial" w:hAnsi="Arial" w:cs="Arial"/>
          <w:i/>
          <w:iCs/>
          <w:sz w:val="20"/>
          <w:szCs w:val="20"/>
        </w:rPr>
        <w:t xml:space="preserve">Timing Advance management </w:t>
      </w:r>
      <w:r w:rsidRPr="009C0EAB">
        <w:rPr>
          <w:rFonts w:ascii="Arial" w:hAnsi="Arial" w:cs="Arial"/>
          <w:i/>
          <w:iCs/>
          <w:sz w:val="20"/>
          <w:szCs w:val="20"/>
        </w:rPr>
        <w:t>from RAN1 perspectives without RAN2 guidance.</w:t>
      </w:r>
    </w:p>
    <w:p w14:paraId="680C8558" w14:textId="6838DD52" w:rsidR="006E6FA6" w:rsidRDefault="006E6FA6" w:rsidP="006E6FA6">
      <w:pPr>
        <w:spacing w:before="120" w:after="120"/>
        <w:jc w:val="both"/>
        <w:rPr>
          <w:rFonts w:ascii="Arial" w:hAnsi="Arial" w:cs="Arial"/>
          <w:b/>
          <w:bCs/>
          <w:sz w:val="20"/>
          <w:szCs w:val="20"/>
        </w:rPr>
      </w:pPr>
      <w:r w:rsidRPr="009C0EAB">
        <w:rPr>
          <w:rFonts w:ascii="Arial" w:hAnsi="Arial" w:cs="Arial" w:hint="eastAsia"/>
          <w:b/>
          <w:bCs/>
          <w:sz w:val="20"/>
          <w:szCs w:val="20"/>
        </w:rPr>
        <w:t>P</w:t>
      </w:r>
      <w:r w:rsidRPr="009C0EAB">
        <w:rPr>
          <w:rFonts w:ascii="Arial" w:hAnsi="Arial" w:cs="Arial"/>
          <w:b/>
          <w:bCs/>
          <w:sz w:val="20"/>
          <w:szCs w:val="20"/>
        </w:rPr>
        <w:t xml:space="preserve">roposal </w:t>
      </w:r>
      <w:r>
        <w:rPr>
          <w:rFonts w:ascii="Arial" w:hAnsi="Arial" w:cs="Arial"/>
          <w:b/>
          <w:bCs/>
          <w:sz w:val="20"/>
          <w:szCs w:val="20"/>
        </w:rPr>
        <w:t>5</w:t>
      </w:r>
      <w:r w:rsidRPr="009C0EAB">
        <w:rPr>
          <w:rFonts w:ascii="Arial" w:hAnsi="Arial" w:cs="Arial"/>
          <w:b/>
          <w:bCs/>
          <w:sz w:val="20"/>
          <w:szCs w:val="20"/>
        </w:rPr>
        <w:t>:</w:t>
      </w:r>
      <w:r w:rsidR="00EC6B74">
        <w:rPr>
          <w:rFonts w:ascii="Arial" w:hAnsi="Arial" w:cs="Arial"/>
          <w:b/>
          <w:bCs/>
          <w:sz w:val="20"/>
          <w:szCs w:val="20"/>
        </w:rPr>
        <w:t xml:space="preserve"> </w:t>
      </w:r>
      <w:r>
        <w:rPr>
          <w:rFonts w:ascii="Arial" w:hAnsi="Arial" w:cs="Arial"/>
          <w:b/>
          <w:bCs/>
          <w:sz w:val="20"/>
          <w:szCs w:val="20"/>
        </w:rPr>
        <w:t xml:space="preserve">No RAN2 input is needed at this moment for RAN1 discussion on </w:t>
      </w:r>
      <w:r w:rsidR="00530E1B" w:rsidRPr="00530E1B">
        <w:rPr>
          <w:rFonts w:ascii="Arial" w:hAnsi="Arial" w:cs="Arial"/>
          <w:b/>
          <w:bCs/>
          <w:sz w:val="20"/>
          <w:szCs w:val="20"/>
        </w:rPr>
        <w:t>Timing Advance management</w:t>
      </w:r>
      <w:r>
        <w:rPr>
          <w:rFonts w:ascii="Arial" w:hAnsi="Arial" w:cs="Arial"/>
          <w:b/>
          <w:bCs/>
          <w:sz w:val="20"/>
          <w:szCs w:val="20"/>
        </w:rPr>
        <w:t>.</w:t>
      </w:r>
      <w:r w:rsidR="00FA62B2" w:rsidDel="00FA62B2">
        <w:rPr>
          <w:rFonts w:ascii="Arial" w:hAnsi="Arial" w:cs="Arial"/>
          <w:b/>
          <w:bCs/>
          <w:sz w:val="20"/>
          <w:szCs w:val="20"/>
        </w:rPr>
        <w:t xml:space="preserve"> </w:t>
      </w:r>
    </w:p>
    <w:p w14:paraId="6D727DD2" w14:textId="453DCD88" w:rsidR="00FA62B2" w:rsidRPr="001A67B6" w:rsidRDefault="00FA62B2" w:rsidP="006E6FA6">
      <w:pPr>
        <w:spacing w:before="120" w:after="120"/>
        <w:jc w:val="both"/>
        <w:rPr>
          <w:rFonts w:ascii="Arial" w:hAnsi="Arial" w:cs="Arial"/>
          <w:sz w:val="20"/>
          <w:szCs w:val="20"/>
        </w:rPr>
      </w:pPr>
      <w:r>
        <w:rPr>
          <w:rFonts w:ascii="Arial" w:hAnsi="Arial" w:cs="Arial"/>
          <w:sz w:val="20"/>
          <w:szCs w:val="20"/>
        </w:rPr>
        <w:t>Based on RAN1 progress, RAN2 will discuss related RRC procedure and configuration issues later.</w:t>
      </w:r>
    </w:p>
    <w:bookmarkEnd w:id="5"/>
    <w:p w14:paraId="0E35054B" w14:textId="7BF79746" w:rsidR="00A07E02" w:rsidRPr="00575E71" w:rsidRDefault="00A07E02" w:rsidP="00B600AB">
      <w:pPr>
        <w:pStyle w:val="Heading1"/>
        <w:overflowPunct w:val="0"/>
        <w:autoSpaceDE w:val="0"/>
        <w:autoSpaceDN w:val="0"/>
        <w:adjustRightInd w:val="0"/>
        <w:spacing w:before="0" w:after="120"/>
        <w:rPr>
          <w:rFonts w:eastAsia="新細明體" w:cs="Arial"/>
        </w:rPr>
      </w:pPr>
      <w:r w:rsidRPr="00575E71">
        <w:rPr>
          <w:rFonts w:eastAsia="新細明體" w:cs="Arial"/>
        </w:rPr>
        <w:t>Conclusion</w:t>
      </w:r>
    </w:p>
    <w:bookmarkEnd w:id="0"/>
    <w:bookmarkEnd w:id="1"/>
    <w:p w14:paraId="74C186AA" w14:textId="3EFBA3B5" w:rsidR="009D77BC" w:rsidRDefault="009D77BC" w:rsidP="00025A52">
      <w:pPr>
        <w:spacing w:after="120"/>
        <w:rPr>
          <w:rFonts w:ascii="Arial" w:hAnsi="Arial" w:cs="Arial"/>
          <w:sz w:val="20"/>
          <w:szCs w:val="20"/>
          <w:lang w:val="en-GB"/>
        </w:rPr>
      </w:pPr>
      <w:r w:rsidRPr="00575E71">
        <w:rPr>
          <w:rFonts w:ascii="Arial" w:hAnsi="Arial" w:cs="Arial"/>
          <w:sz w:val="20"/>
          <w:szCs w:val="20"/>
          <w:lang w:val="en-GB"/>
        </w:rPr>
        <w:t>We have the following observations:</w:t>
      </w:r>
    </w:p>
    <w:p w14:paraId="56C439CF" w14:textId="02FBCCC6" w:rsidR="008224BB" w:rsidRPr="008224BB" w:rsidRDefault="008224BB" w:rsidP="008224BB">
      <w:pPr>
        <w:spacing w:before="120" w:after="120"/>
        <w:jc w:val="both"/>
        <w:rPr>
          <w:rFonts w:ascii="Arial" w:hAnsi="Arial" w:cs="Arial"/>
          <w:i/>
          <w:iCs/>
          <w:sz w:val="20"/>
          <w:szCs w:val="20"/>
        </w:rPr>
      </w:pPr>
      <w:r w:rsidRPr="009C0EAB">
        <w:rPr>
          <w:rFonts w:ascii="Arial" w:hAnsi="Arial" w:cs="Arial"/>
          <w:i/>
          <w:iCs/>
          <w:sz w:val="20"/>
          <w:szCs w:val="20"/>
        </w:rPr>
        <w:t>Observation 1:</w:t>
      </w:r>
      <w:r w:rsidRPr="009C0EAB">
        <w:rPr>
          <w:rFonts w:ascii="Arial" w:hAnsi="Arial" w:cs="Arial"/>
          <w:i/>
          <w:iCs/>
          <w:sz w:val="20"/>
          <w:szCs w:val="20"/>
        </w:rPr>
        <w:tab/>
        <w:t>RAN1 can discuss L1 enhancements for</w:t>
      </w:r>
      <w:r>
        <w:rPr>
          <w:rFonts w:ascii="Arial" w:hAnsi="Arial" w:cs="Arial"/>
          <w:i/>
          <w:iCs/>
          <w:sz w:val="20"/>
          <w:szCs w:val="20"/>
        </w:rPr>
        <w:t xml:space="preserve"> inter-cell BM</w:t>
      </w:r>
      <w:r w:rsidRPr="009C0EAB">
        <w:rPr>
          <w:rFonts w:ascii="Arial" w:hAnsi="Arial" w:cs="Arial"/>
          <w:i/>
          <w:iCs/>
          <w:sz w:val="20"/>
          <w:szCs w:val="20"/>
        </w:rPr>
        <w:t xml:space="preserve"> from RAN1 perspectives without RAN2 guidance.</w:t>
      </w:r>
    </w:p>
    <w:p w14:paraId="0019BAA2" w14:textId="77777777" w:rsidR="0076435D" w:rsidRPr="009C0EAB" w:rsidRDefault="0076435D" w:rsidP="0076435D">
      <w:pPr>
        <w:spacing w:before="120" w:after="120"/>
        <w:jc w:val="both"/>
        <w:rPr>
          <w:rFonts w:ascii="Arial" w:hAnsi="Arial" w:cs="Arial"/>
          <w:i/>
          <w:iCs/>
          <w:sz w:val="20"/>
          <w:szCs w:val="20"/>
        </w:rPr>
      </w:pPr>
      <w:r w:rsidRPr="009C0EAB">
        <w:rPr>
          <w:rFonts w:ascii="Arial" w:hAnsi="Arial" w:cs="Arial"/>
          <w:i/>
          <w:iCs/>
          <w:sz w:val="20"/>
          <w:szCs w:val="20"/>
        </w:rPr>
        <w:t xml:space="preserve">Observation </w:t>
      </w:r>
      <w:r>
        <w:rPr>
          <w:rFonts w:ascii="Arial" w:hAnsi="Arial" w:cs="Arial"/>
          <w:i/>
          <w:iCs/>
          <w:sz w:val="20"/>
          <w:szCs w:val="20"/>
        </w:rPr>
        <w:t>2</w:t>
      </w:r>
      <w:r w:rsidRPr="009C0EAB">
        <w:rPr>
          <w:rFonts w:ascii="Arial" w:hAnsi="Arial" w:cs="Arial"/>
          <w:i/>
          <w:iCs/>
          <w:sz w:val="20"/>
          <w:szCs w:val="20"/>
        </w:rPr>
        <w:t>:</w:t>
      </w:r>
      <w:r w:rsidRPr="009C0EAB">
        <w:rPr>
          <w:rFonts w:ascii="Arial" w:hAnsi="Arial" w:cs="Arial"/>
          <w:i/>
          <w:iCs/>
          <w:sz w:val="20"/>
          <w:szCs w:val="20"/>
        </w:rPr>
        <w:tab/>
        <w:t xml:space="preserve">RAN1 can discuss </w:t>
      </w:r>
      <w:r>
        <w:rPr>
          <w:rFonts w:ascii="Arial" w:hAnsi="Arial" w:cs="Arial"/>
          <w:i/>
          <w:iCs/>
          <w:sz w:val="20"/>
          <w:szCs w:val="20"/>
        </w:rPr>
        <w:t xml:space="preserve">Timing Advance management </w:t>
      </w:r>
      <w:r w:rsidRPr="009C0EAB">
        <w:rPr>
          <w:rFonts w:ascii="Arial" w:hAnsi="Arial" w:cs="Arial"/>
          <w:i/>
          <w:iCs/>
          <w:sz w:val="20"/>
          <w:szCs w:val="20"/>
        </w:rPr>
        <w:t>from RAN1 perspectives without RAN2 guidance.</w:t>
      </w:r>
    </w:p>
    <w:p w14:paraId="179E33B6" w14:textId="77777777" w:rsidR="009D77BC" w:rsidRPr="0076435D" w:rsidRDefault="009D77BC" w:rsidP="00025A52">
      <w:pPr>
        <w:spacing w:after="120"/>
        <w:rPr>
          <w:rFonts w:ascii="Arial" w:hAnsi="Arial" w:cs="Arial"/>
          <w:sz w:val="20"/>
          <w:szCs w:val="20"/>
        </w:rPr>
      </w:pPr>
    </w:p>
    <w:p w14:paraId="372159FF" w14:textId="56877451" w:rsidR="00D71A6B" w:rsidRDefault="00025A52" w:rsidP="009C0EAB">
      <w:pPr>
        <w:spacing w:after="120"/>
        <w:rPr>
          <w:rFonts w:ascii="Arial" w:hAnsi="Arial" w:cs="Arial"/>
          <w:sz w:val="20"/>
          <w:szCs w:val="20"/>
          <w:lang w:val="en-GB"/>
        </w:rPr>
      </w:pPr>
      <w:r w:rsidRPr="00575E71">
        <w:rPr>
          <w:rFonts w:ascii="Arial" w:hAnsi="Arial" w:cs="Arial"/>
          <w:sz w:val="20"/>
          <w:szCs w:val="20"/>
          <w:lang w:val="en-GB"/>
        </w:rPr>
        <w:t>It is proposed to discuss and decide on the following proposals:</w:t>
      </w:r>
    </w:p>
    <w:p w14:paraId="7A19D423" w14:textId="51EFC406" w:rsidR="008224BB" w:rsidRDefault="008224BB" w:rsidP="008224BB">
      <w:pPr>
        <w:spacing w:before="120" w:after="120"/>
        <w:jc w:val="both"/>
        <w:rPr>
          <w:rFonts w:ascii="Arial" w:hAnsi="Arial" w:cs="Arial"/>
          <w:b/>
          <w:bCs/>
          <w:sz w:val="20"/>
          <w:szCs w:val="20"/>
        </w:rPr>
      </w:pPr>
      <w:r w:rsidRPr="009C0EAB">
        <w:rPr>
          <w:rFonts w:ascii="Arial" w:hAnsi="Arial" w:cs="Arial" w:hint="eastAsia"/>
          <w:b/>
          <w:bCs/>
          <w:sz w:val="20"/>
          <w:szCs w:val="20"/>
        </w:rPr>
        <w:t>P</w:t>
      </w:r>
      <w:r w:rsidRPr="009C0EAB">
        <w:rPr>
          <w:rFonts w:ascii="Arial" w:hAnsi="Arial" w:cs="Arial"/>
          <w:b/>
          <w:bCs/>
          <w:sz w:val="20"/>
          <w:szCs w:val="20"/>
        </w:rPr>
        <w:t>roposal 1:</w:t>
      </w:r>
      <w:r>
        <w:rPr>
          <w:rFonts w:ascii="Arial" w:hAnsi="Arial" w:cs="Arial"/>
          <w:b/>
          <w:bCs/>
          <w:sz w:val="20"/>
          <w:szCs w:val="20"/>
        </w:rPr>
        <w:t xml:space="preserve"> No RAN2 input is needed at this moment for RAN1 discussion on L1 measurement and reporting.</w:t>
      </w:r>
    </w:p>
    <w:p w14:paraId="5DA0C556" w14:textId="0FFCA46C" w:rsidR="008224BB" w:rsidRPr="008224BB" w:rsidRDefault="008224BB" w:rsidP="008224BB">
      <w:pPr>
        <w:spacing w:before="120" w:after="120"/>
        <w:jc w:val="both"/>
        <w:rPr>
          <w:rFonts w:ascii="Arial" w:hAnsi="Arial" w:cs="Arial"/>
          <w:b/>
          <w:bCs/>
          <w:sz w:val="20"/>
          <w:szCs w:val="20"/>
        </w:rPr>
      </w:pPr>
      <w:r w:rsidRPr="00E920B4">
        <w:rPr>
          <w:rFonts w:ascii="Arial" w:hAnsi="Arial" w:cs="Arial"/>
          <w:b/>
          <w:bCs/>
          <w:sz w:val="20"/>
          <w:szCs w:val="20"/>
        </w:rPr>
        <w:t>Proposal 2:</w:t>
      </w:r>
      <w:r w:rsidR="00BC299C">
        <w:rPr>
          <w:rFonts w:ascii="Arial" w:hAnsi="Arial" w:cs="Arial"/>
          <w:b/>
          <w:bCs/>
          <w:sz w:val="20"/>
          <w:szCs w:val="20"/>
        </w:rPr>
        <w:t xml:space="preserve"> </w:t>
      </w:r>
      <w:r w:rsidRPr="00E920B4">
        <w:rPr>
          <w:rFonts w:ascii="Arial" w:hAnsi="Arial" w:cs="Arial" w:hint="eastAsia"/>
          <w:b/>
          <w:bCs/>
          <w:sz w:val="20"/>
          <w:szCs w:val="20"/>
        </w:rPr>
        <w:t>R</w:t>
      </w:r>
      <w:r w:rsidRPr="00E920B4">
        <w:rPr>
          <w:rFonts w:ascii="Arial" w:hAnsi="Arial" w:cs="Arial"/>
          <w:b/>
          <w:bCs/>
          <w:sz w:val="20"/>
          <w:szCs w:val="20"/>
        </w:rPr>
        <w:t>AN2 assumes that unified TCI framework is the baseline for beam indication in L1/L2-based inter-cell mobility.</w:t>
      </w:r>
    </w:p>
    <w:p w14:paraId="55A6DB59" w14:textId="6A3C6F84" w:rsidR="0076435D" w:rsidRPr="004301AB" w:rsidRDefault="0076435D" w:rsidP="008224BB">
      <w:pPr>
        <w:spacing w:before="120" w:after="120"/>
        <w:jc w:val="both"/>
        <w:rPr>
          <w:rFonts w:ascii="Arial" w:hAnsi="Arial" w:cs="Arial"/>
          <w:b/>
          <w:bCs/>
          <w:sz w:val="20"/>
          <w:szCs w:val="20"/>
        </w:rPr>
      </w:pPr>
      <w:r w:rsidRPr="004301AB">
        <w:rPr>
          <w:rFonts w:ascii="Arial" w:hAnsi="Arial" w:cs="Arial" w:hint="eastAsia"/>
          <w:b/>
          <w:bCs/>
          <w:sz w:val="20"/>
          <w:szCs w:val="20"/>
        </w:rPr>
        <w:t>P</w:t>
      </w:r>
      <w:r w:rsidRPr="004301AB">
        <w:rPr>
          <w:rFonts w:ascii="Arial" w:hAnsi="Arial" w:cs="Arial"/>
          <w:b/>
          <w:bCs/>
          <w:sz w:val="20"/>
          <w:szCs w:val="20"/>
        </w:rPr>
        <w:t>roposal 3:</w:t>
      </w:r>
      <w:r w:rsidR="008224BB">
        <w:rPr>
          <w:rFonts w:ascii="Arial" w:hAnsi="Arial" w:cs="Arial"/>
          <w:b/>
          <w:bCs/>
          <w:sz w:val="20"/>
          <w:szCs w:val="20"/>
        </w:rPr>
        <w:t xml:space="preserve"> </w:t>
      </w:r>
      <w:r w:rsidRPr="004301AB">
        <w:rPr>
          <w:rFonts w:ascii="Arial" w:hAnsi="Arial" w:cs="Arial"/>
          <w:b/>
          <w:bCs/>
          <w:sz w:val="20"/>
          <w:szCs w:val="20"/>
        </w:rPr>
        <w:t>In L1/L2 mobility, a single signal is used to indicate cell switch and beam switch.</w:t>
      </w:r>
    </w:p>
    <w:p w14:paraId="4C117AF5" w14:textId="2B8F0235" w:rsidR="0076435D" w:rsidRPr="0076435D" w:rsidRDefault="0076435D" w:rsidP="008224BB">
      <w:pPr>
        <w:spacing w:before="120" w:after="120"/>
        <w:jc w:val="both"/>
        <w:rPr>
          <w:rFonts w:ascii="Arial" w:hAnsi="Arial" w:cs="Arial"/>
          <w:b/>
          <w:bCs/>
          <w:sz w:val="20"/>
          <w:szCs w:val="20"/>
        </w:rPr>
      </w:pPr>
      <w:r w:rsidRPr="004301AB">
        <w:rPr>
          <w:rFonts w:ascii="Arial" w:hAnsi="Arial" w:cs="Arial" w:hint="eastAsia"/>
          <w:b/>
          <w:bCs/>
          <w:sz w:val="20"/>
          <w:szCs w:val="20"/>
        </w:rPr>
        <w:t>P</w:t>
      </w:r>
      <w:r w:rsidRPr="004301AB">
        <w:rPr>
          <w:rFonts w:ascii="Arial" w:hAnsi="Arial" w:cs="Arial"/>
          <w:b/>
          <w:bCs/>
          <w:sz w:val="20"/>
          <w:szCs w:val="20"/>
        </w:rPr>
        <w:t>roposal 4:</w:t>
      </w:r>
      <w:r>
        <w:rPr>
          <w:rFonts w:ascii="Arial" w:hAnsi="Arial" w:cs="Arial"/>
          <w:b/>
          <w:bCs/>
          <w:sz w:val="20"/>
          <w:szCs w:val="20"/>
        </w:rPr>
        <w:t xml:space="preserve"> </w:t>
      </w:r>
      <w:r w:rsidRPr="004301AB">
        <w:rPr>
          <w:rFonts w:ascii="Arial" w:hAnsi="Arial" w:cs="Arial"/>
          <w:b/>
          <w:bCs/>
          <w:sz w:val="20"/>
          <w:szCs w:val="20"/>
        </w:rPr>
        <w:t>Cell switch in L1/L2-based is based on MAC CE.</w:t>
      </w:r>
    </w:p>
    <w:p w14:paraId="254F8408" w14:textId="497DA9B0" w:rsidR="0076435D" w:rsidRPr="001A67B6" w:rsidRDefault="0076435D" w:rsidP="008224BB">
      <w:pPr>
        <w:spacing w:before="120" w:after="120"/>
        <w:jc w:val="both"/>
        <w:rPr>
          <w:rFonts w:ascii="Arial" w:hAnsi="Arial" w:cs="Arial"/>
          <w:sz w:val="20"/>
          <w:szCs w:val="20"/>
        </w:rPr>
      </w:pPr>
      <w:r w:rsidRPr="009C0EAB">
        <w:rPr>
          <w:rFonts w:ascii="Arial" w:hAnsi="Arial" w:cs="Arial" w:hint="eastAsia"/>
          <w:b/>
          <w:bCs/>
          <w:sz w:val="20"/>
          <w:szCs w:val="20"/>
        </w:rPr>
        <w:t>P</w:t>
      </w:r>
      <w:r w:rsidRPr="009C0EAB">
        <w:rPr>
          <w:rFonts w:ascii="Arial" w:hAnsi="Arial" w:cs="Arial"/>
          <w:b/>
          <w:bCs/>
          <w:sz w:val="20"/>
          <w:szCs w:val="20"/>
        </w:rPr>
        <w:t xml:space="preserve">roposal </w:t>
      </w:r>
      <w:r>
        <w:rPr>
          <w:rFonts w:ascii="Arial" w:hAnsi="Arial" w:cs="Arial"/>
          <w:b/>
          <w:bCs/>
          <w:sz w:val="20"/>
          <w:szCs w:val="20"/>
        </w:rPr>
        <w:t>5</w:t>
      </w:r>
      <w:r w:rsidRPr="009C0EAB">
        <w:rPr>
          <w:rFonts w:ascii="Arial" w:hAnsi="Arial" w:cs="Arial"/>
          <w:b/>
          <w:bCs/>
          <w:sz w:val="20"/>
          <w:szCs w:val="20"/>
        </w:rPr>
        <w:t>:</w:t>
      </w:r>
      <w:r w:rsidR="00BC299C">
        <w:rPr>
          <w:rFonts w:ascii="Arial" w:hAnsi="Arial" w:cs="Arial"/>
          <w:b/>
          <w:bCs/>
          <w:sz w:val="20"/>
          <w:szCs w:val="20"/>
        </w:rPr>
        <w:t xml:space="preserve"> </w:t>
      </w:r>
      <w:r>
        <w:rPr>
          <w:rFonts w:ascii="Arial" w:hAnsi="Arial" w:cs="Arial"/>
          <w:b/>
          <w:bCs/>
          <w:sz w:val="20"/>
          <w:szCs w:val="20"/>
        </w:rPr>
        <w:t xml:space="preserve">No RAN2 input is needed at this moment for RAN1 discussion on </w:t>
      </w:r>
      <w:r w:rsidRPr="00530E1B">
        <w:rPr>
          <w:rFonts w:ascii="Arial" w:hAnsi="Arial" w:cs="Arial"/>
          <w:b/>
          <w:bCs/>
          <w:sz w:val="20"/>
          <w:szCs w:val="20"/>
        </w:rPr>
        <w:t>Timing Advance management</w:t>
      </w:r>
      <w:r>
        <w:rPr>
          <w:rFonts w:ascii="Arial" w:hAnsi="Arial" w:cs="Arial"/>
          <w:b/>
          <w:bCs/>
          <w:sz w:val="20"/>
          <w:szCs w:val="20"/>
        </w:rPr>
        <w:t xml:space="preserve">. </w:t>
      </w:r>
    </w:p>
    <w:p w14:paraId="25861E92" w14:textId="77777777" w:rsidR="0076435D" w:rsidRPr="0076435D" w:rsidRDefault="0076435D" w:rsidP="009C0EAB">
      <w:pPr>
        <w:spacing w:after="120"/>
        <w:rPr>
          <w:rFonts w:ascii="Arial" w:hAnsi="Arial" w:cs="Arial"/>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新細明體" w:cs="Arial"/>
        </w:rPr>
      </w:pPr>
      <w:r w:rsidRPr="00575E71">
        <w:rPr>
          <w:rFonts w:eastAsia="新細明體" w:cs="Arial"/>
          <w:lang w:eastAsia="zh-TW"/>
        </w:rPr>
        <w:t>R</w:t>
      </w:r>
      <w:r w:rsidR="00A07E02" w:rsidRPr="00575E71">
        <w:rPr>
          <w:rFonts w:eastAsia="新細明體" w:cs="Arial"/>
        </w:rPr>
        <w:t>eference</w:t>
      </w:r>
    </w:p>
    <w:p w14:paraId="3BA7CB86" w14:textId="56AC53CF" w:rsidR="00F942C7" w:rsidRPr="001A67B6" w:rsidRDefault="00911B03" w:rsidP="007D0FE4">
      <w:pPr>
        <w:pStyle w:val="ListParagraph"/>
        <w:numPr>
          <w:ilvl w:val="0"/>
          <w:numId w:val="5"/>
        </w:numPr>
        <w:rPr>
          <w:rFonts w:ascii="Arial" w:hAnsi="Arial" w:cs="Arial"/>
        </w:rPr>
      </w:pPr>
      <w:r w:rsidRPr="00575E71">
        <w:rPr>
          <w:rFonts w:ascii="Arial" w:hAnsi="Arial" w:cs="Arial"/>
        </w:rPr>
        <w:t>RP-22</w:t>
      </w:r>
      <w:r w:rsidR="009C0EAB">
        <w:rPr>
          <w:rFonts w:ascii="Arial" w:hAnsi="Arial" w:cs="Arial"/>
        </w:rPr>
        <w:t>2332</w:t>
      </w:r>
      <w:r w:rsidRPr="00575E71">
        <w:rPr>
          <w:rFonts w:ascii="Arial" w:hAnsi="Arial" w:cs="Arial"/>
        </w:rPr>
        <w:t xml:space="preserve">, </w:t>
      </w:r>
      <w:r w:rsidR="004A41D1" w:rsidRPr="00575E71">
        <w:rPr>
          <w:rFonts w:ascii="Arial" w:eastAsiaTheme="minorEastAsia" w:hAnsi="Arial" w:cs="Arial"/>
          <w:lang w:eastAsia="zh-TW"/>
        </w:rPr>
        <w:t>Revised WID on Further NR mobility enhancements</w:t>
      </w:r>
    </w:p>
    <w:p w14:paraId="2C18219D" w14:textId="62CA7BA4" w:rsidR="001A67B6" w:rsidRPr="00575E71" w:rsidRDefault="001A67B6" w:rsidP="007D0FE4">
      <w:pPr>
        <w:pStyle w:val="ListParagraph"/>
        <w:numPr>
          <w:ilvl w:val="0"/>
          <w:numId w:val="5"/>
        </w:numPr>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 xml:space="preserve">2-2209255, </w:t>
      </w:r>
      <w:r w:rsidRPr="001A67B6">
        <w:rPr>
          <w:rFonts w:ascii="Arial" w:eastAsiaTheme="minorEastAsia" w:hAnsi="Arial" w:cs="Arial"/>
          <w:lang w:eastAsia="zh-TW"/>
        </w:rPr>
        <w:t>38.300 running CR for introduction of NR further mobility enhancements</w:t>
      </w:r>
      <w:r>
        <w:rPr>
          <w:rFonts w:ascii="Arial" w:eastAsiaTheme="minorEastAsia" w:hAnsi="Arial" w:cs="Arial"/>
          <w:lang w:eastAsia="zh-TW"/>
        </w:rPr>
        <w:t>, Aug. 2022</w:t>
      </w:r>
    </w:p>
    <w:sectPr w:rsidR="001A67B6" w:rsidRPr="00575E71"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21519" w14:textId="77777777" w:rsidR="000D2211" w:rsidRDefault="000D2211">
      <w:pPr>
        <w:pStyle w:val="TAL"/>
      </w:pPr>
      <w:r>
        <w:separator/>
      </w:r>
    </w:p>
  </w:endnote>
  <w:endnote w:type="continuationSeparator" w:id="0">
    <w:p w14:paraId="097198A8" w14:textId="77777777" w:rsidR="000D2211" w:rsidRDefault="000D221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ZapfDingbat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BD2A3" w14:textId="77777777" w:rsidR="000D2211" w:rsidRDefault="000D2211">
      <w:pPr>
        <w:pStyle w:val="TAL"/>
      </w:pPr>
      <w:r>
        <w:separator/>
      </w:r>
    </w:p>
  </w:footnote>
  <w:footnote w:type="continuationSeparator" w:id="0">
    <w:p w14:paraId="70BBC979" w14:textId="77777777" w:rsidR="000D2211" w:rsidRDefault="000D221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4C9232A"/>
    <w:multiLevelType w:val="hybridMultilevel"/>
    <w:tmpl w:val="6E7026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66D152B"/>
    <w:multiLevelType w:val="hybridMultilevel"/>
    <w:tmpl w:val="6B7A93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AA374E"/>
    <w:multiLevelType w:val="hybridMultilevel"/>
    <w:tmpl w:val="AF782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056A2"/>
    <w:multiLevelType w:val="hybridMultilevel"/>
    <w:tmpl w:val="004A7E3C"/>
    <w:lvl w:ilvl="0" w:tplc="A704DE8E">
      <w:start w:val="1"/>
      <w:numFmt w:val="bullet"/>
      <w:lvlText w:val=""/>
      <w:lvlJc w:val="left"/>
      <w:pPr>
        <w:ind w:left="480" w:hanging="480"/>
      </w:pPr>
      <w:rPr>
        <w:rFonts w:ascii="Wingdings" w:hAnsi="Wingdings" w:hint="default"/>
      </w:rPr>
    </w:lvl>
    <w:lvl w:ilvl="1" w:tplc="7BF02258">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15:restartNumberingAfterBreak="0">
    <w:nsid w:val="23442F60"/>
    <w:multiLevelType w:val="hybridMultilevel"/>
    <w:tmpl w:val="FC5E512A"/>
    <w:lvl w:ilvl="0" w:tplc="A704DE8E">
      <w:start w:val="1"/>
      <w:numFmt w:val="bullet"/>
      <w:lvlText w:val=""/>
      <w:lvlJc w:val="left"/>
      <w:pPr>
        <w:ind w:left="480" w:hanging="480"/>
      </w:pPr>
      <w:rPr>
        <w:rFonts w:ascii="Wingdings" w:hAnsi="Wingdings" w:hint="default"/>
      </w:rPr>
    </w:lvl>
    <w:lvl w:ilvl="1" w:tplc="7BF02258">
      <w:start w:val="1"/>
      <w:numFmt w:val="bullet"/>
      <w:lvlText w:val="○"/>
      <w:lvlJc w:val="left"/>
      <w:pPr>
        <w:ind w:left="960" w:hanging="480"/>
      </w:pPr>
      <w:rPr>
        <w:rFonts w:ascii="Calibri" w:hAnsi="Calibri"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010D70"/>
    <w:multiLevelType w:val="hybridMultilevel"/>
    <w:tmpl w:val="A7BAFC1C"/>
    <w:lvl w:ilvl="0" w:tplc="1144BF4E">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EBD3442"/>
    <w:multiLevelType w:val="hybridMultilevel"/>
    <w:tmpl w:val="1EF2A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46E25BE"/>
    <w:multiLevelType w:val="hybridMultilevel"/>
    <w:tmpl w:val="5E181F2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7BC64F4"/>
    <w:multiLevelType w:val="hybridMultilevel"/>
    <w:tmpl w:val="4112A5A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AAE589B"/>
    <w:multiLevelType w:val="hybridMultilevel"/>
    <w:tmpl w:val="D30AAEA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8" w15:restartNumberingAfterBreak="0">
    <w:nsid w:val="3F9B6012"/>
    <w:multiLevelType w:val="hybridMultilevel"/>
    <w:tmpl w:val="C23C26D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BB1060"/>
    <w:multiLevelType w:val="hybridMultilevel"/>
    <w:tmpl w:val="ADC864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F102719"/>
    <w:multiLevelType w:val="hybridMultilevel"/>
    <w:tmpl w:val="3B8836CE"/>
    <w:lvl w:ilvl="0" w:tplc="A704DE8E">
      <w:start w:val="1"/>
      <w:numFmt w:val="bullet"/>
      <w:lvlText w:val=""/>
      <w:lvlJc w:val="left"/>
      <w:pPr>
        <w:ind w:left="480" w:hanging="480"/>
      </w:pPr>
      <w:rPr>
        <w:rFonts w:ascii="Wingdings" w:hAnsi="Wingdings" w:hint="default"/>
      </w:rPr>
    </w:lvl>
    <w:lvl w:ilvl="1" w:tplc="AC968F4C">
      <w:start w:val="3"/>
      <w:numFmt w:val="bullet"/>
      <w:lvlText w:val="-"/>
      <w:lvlJc w:val="left"/>
      <w:pPr>
        <w:ind w:left="960" w:hanging="480"/>
      </w:pPr>
      <w:rPr>
        <w:rFonts w:ascii="Times New Roman" w:eastAsia="Malgun Gothic"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E7F9D"/>
    <w:multiLevelType w:val="hybridMultilevel"/>
    <w:tmpl w:val="E032725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7375"/>
        </w:tabs>
        <w:ind w:left="-7375" w:hanging="360"/>
      </w:pPr>
      <w:rPr>
        <w:rFonts w:ascii="Symbol" w:hAnsi="Symbol" w:hint="default"/>
        <w:b/>
        <w:i w:val="0"/>
        <w:color w:val="auto"/>
        <w:sz w:val="22"/>
      </w:rPr>
    </w:lvl>
    <w:lvl w:ilvl="1" w:tplc="04090003">
      <w:start w:val="1"/>
      <w:numFmt w:val="bullet"/>
      <w:lvlText w:val="o"/>
      <w:lvlJc w:val="left"/>
      <w:pPr>
        <w:tabs>
          <w:tab w:val="num" w:pos="-13135"/>
        </w:tabs>
        <w:ind w:left="-13135" w:hanging="360"/>
      </w:pPr>
      <w:rPr>
        <w:rFonts w:ascii="Courier New" w:hAnsi="Courier New" w:cs="Courier New" w:hint="default"/>
      </w:rPr>
    </w:lvl>
    <w:lvl w:ilvl="2" w:tplc="04090005">
      <w:start w:val="1"/>
      <w:numFmt w:val="bullet"/>
      <w:lvlText w:val=""/>
      <w:lvlJc w:val="left"/>
      <w:pPr>
        <w:tabs>
          <w:tab w:val="num" w:pos="-12415"/>
        </w:tabs>
        <w:ind w:left="-12415" w:hanging="360"/>
      </w:pPr>
      <w:rPr>
        <w:rFonts w:ascii="Wingdings" w:hAnsi="Wingdings" w:hint="default"/>
      </w:rPr>
    </w:lvl>
    <w:lvl w:ilvl="3" w:tplc="04090001">
      <w:start w:val="1"/>
      <w:numFmt w:val="bullet"/>
      <w:lvlText w:val=""/>
      <w:lvlJc w:val="left"/>
      <w:pPr>
        <w:tabs>
          <w:tab w:val="num" w:pos="-11695"/>
        </w:tabs>
        <w:ind w:left="-11695" w:hanging="360"/>
      </w:pPr>
      <w:rPr>
        <w:rFonts w:ascii="Symbol" w:hAnsi="Symbol" w:hint="default"/>
      </w:rPr>
    </w:lvl>
    <w:lvl w:ilvl="4" w:tplc="04090003">
      <w:start w:val="1"/>
      <w:numFmt w:val="bullet"/>
      <w:lvlText w:val="o"/>
      <w:lvlJc w:val="left"/>
      <w:pPr>
        <w:tabs>
          <w:tab w:val="num" w:pos="-10975"/>
        </w:tabs>
        <w:ind w:left="-10975" w:hanging="360"/>
      </w:pPr>
      <w:rPr>
        <w:rFonts w:ascii="Courier New" w:hAnsi="Courier New" w:cs="Courier New" w:hint="default"/>
      </w:rPr>
    </w:lvl>
    <w:lvl w:ilvl="5" w:tplc="04090005">
      <w:start w:val="1"/>
      <w:numFmt w:val="bullet"/>
      <w:lvlText w:val=""/>
      <w:lvlJc w:val="left"/>
      <w:pPr>
        <w:tabs>
          <w:tab w:val="num" w:pos="-10255"/>
        </w:tabs>
        <w:ind w:left="-10255" w:hanging="360"/>
      </w:pPr>
      <w:rPr>
        <w:rFonts w:ascii="Wingdings" w:hAnsi="Wingdings" w:hint="default"/>
      </w:rPr>
    </w:lvl>
    <w:lvl w:ilvl="6" w:tplc="04090001">
      <w:start w:val="1"/>
      <w:numFmt w:val="bullet"/>
      <w:lvlText w:val=""/>
      <w:lvlJc w:val="left"/>
      <w:pPr>
        <w:tabs>
          <w:tab w:val="num" w:pos="-9535"/>
        </w:tabs>
        <w:ind w:left="-9535" w:hanging="360"/>
      </w:pPr>
      <w:rPr>
        <w:rFonts w:ascii="Symbol" w:hAnsi="Symbol" w:hint="default"/>
      </w:rPr>
    </w:lvl>
    <w:lvl w:ilvl="7" w:tplc="04090003" w:tentative="1">
      <w:start w:val="1"/>
      <w:numFmt w:val="bullet"/>
      <w:lvlText w:val="o"/>
      <w:lvlJc w:val="left"/>
      <w:pPr>
        <w:tabs>
          <w:tab w:val="num" w:pos="-8815"/>
        </w:tabs>
        <w:ind w:left="-8815" w:hanging="360"/>
      </w:pPr>
      <w:rPr>
        <w:rFonts w:ascii="Courier New" w:hAnsi="Courier New" w:cs="Courier New" w:hint="default"/>
      </w:rPr>
    </w:lvl>
    <w:lvl w:ilvl="8" w:tplc="04090005" w:tentative="1">
      <w:start w:val="1"/>
      <w:numFmt w:val="bullet"/>
      <w:lvlText w:val=""/>
      <w:lvlJc w:val="left"/>
      <w:pPr>
        <w:tabs>
          <w:tab w:val="num" w:pos="-8095"/>
        </w:tabs>
        <w:ind w:left="-8095" w:hanging="360"/>
      </w:pPr>
      <w:rPr>
        <w:rFonts w:ascii="Wingdings" w:hAnsi="Wingdings" w:hint="default"/>
      </w:rPr>
    </w:lvl>
  </w:abstractNum>
  <w:abstractNum w:abstractNumId="48"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5013835">
    <w:abstractNumId w:val="27"/>
  </w:num>
  <w:num w:numId="2" w16cid:durableId="655064778">
    <w:abstractNumId w:val="50"/>
  </w:num>
  <w:num w:numId="3" w16cid:durableId="958608127">
    <w:abstractNumId w:val="47"/>
  </w:num>
  <w:num w:numId="4" w16cid:durableId="1481003223">
    <w:abstractNumId w:val="33"/>
  </w:num>
  <w:num w:numId="5" w16cid:durableId="210460166">
    <w:abstractNumId w:val="6"/>
  </w:num>
  <w:num w:numId="6" w16cid:durableId="278728015">
    <w:abstractNumId w:val="29"/>
  </w:num>
  <w:num w:numId="7" w16cid:durableId="1332490925">
    <w:abstractNumId w:val="7"/>
  </w:num>
  <w:num w:numId="8" w16cid:durableId="277372435">
    <w:abstractNumId w:val="48"/>
  </w:num>
  <w:num w:numId="9" w16cid:durableId="1106535453">
    <w:abstractNumId w:val="13"/>
  </w:num>
  <w:num w:numId="10" w16cid:durableId="1750730241">
    <w:abstractNumId w:val="16"/>
  </w:num>
  <w:num w:numId="11" w16cid:durableId="1622613935">
    <w:abstractNumId w:val="40"/>
  </w:num>
  <w:num w:numId="12" w16cid:durableId="435635967">
    <w:abstractNumId w:val="34"/>
  </w:num>
  <w:num w:numId="13" w16cid:durableId="1412044153">
    <w:abstractNumId w:val="30"/>
  </w:num>
  <w:num w:numId="14" w16cid:durableId="1422483402">
    <w:abstractNumId w:val="35"/>
  </w:num>
  <w:num w:numId="15" w16cid:durableId="2102753215">
    <w:abstractNumId w:val="32"/>
  </w:num>
  <w:num w:numId="16" w16cid:durableId="939407907">
    <w:abstractNumId w:val="33"/>
  </w:num>
  <w:num w:numId="17" w16cid:durableId="990595070">
    <w:abstractNumId w:val="18"/>
  </w:num>
  <w:num w:numId="18" w16cid:durableId="117066149">
    <w:abstractNumId w:val="38"/>
  </w:num>
  <w:num w:numId="19" w16cid:durableId="1531382196">
    <w:abstractNumId w:val="4"/>
  </w:num>
  <w:num w:numId="20" w16cid:durableId="1289241632">
    <w:abstractNumId w:val="37"/>
  </w:num>
  <w:num w:numId="21" w16cid:durableId="604196908">
    <w:abstractNumId w:val="33"/>
  </w:num>
  <w:num w:numId="22" w16cid:durableId="9600699">
    <w:abstractNumId w:val="43"/>
  </w:num>
  <w:num w:numId="23" w16cid:durableId="1469517528">
    <w:abstractNumId w:val="33"/>
  </w:num>
  <w:num w:numId="24" w16cid:durableId="1479224983">
    <w:abstractNumId w:val="24"/>
  </w:num>
  <w:num w:numId="25" w16cid:durableId="1726954611">
    <w:abstractNumId w:val="1"/>
  </w:num>
  <w:num w:numId="26" w16cid:durableId="2075011009">
    <w:abstractNumId w:val="17"/>
  </w:num>
  <w:num w:numId="27" w16cid:durableId="28922042">
    <w:abstractNumId w:val="20"/>
  </w:num>
  <w:num w:numId="28" w16cid:durableId="92168499">
    <w:abstractNumId w:val="0"/>
  </w:num>
  <w:num w:numId="29" w16cid:durableId="1456631006">
    <w:abstractNumId w:val="5"/>
  </w:num>
  <w:num w:numId="30" w16cid:durableId="1219056219">
    <w:abstractNumId w:val="12"/>
  </w:num>
  <w:num w:numId="31" w16cid:durableId="610749864">
    <w:abstractNumId w:val="49"/>
  </w:num>
  <w:num w:numId="32" w16cid:durableId="1649630609">
    <w:abstractNumId w:val="39"/>
  </w:num>
  <w:num w:numId="33" w16cid:durableId="311256942">
    <w:abstractNumId w:val="33"/>
  </w:num>
  <w:num w:numId="34" w16cid:durableId="1713965941">
    <w:abstractNumId w:val="33"/>
  </w:num>
  <w:num w:numId="35" w16cid:durableId="1027948354">
    <w:abstractNumId w:val="9"/>
  </w:num>
  <w:num w:numId="36" w16cid:durableId="1526556359">
    <w:abstractNumId w:val="14"/>
  </w:num>
  <w:num w:numId="37" w16cid:durableId="78453684">
    <w:abstractNumId w:val="8"/>
  </w:num>
  <w:num w:numId="38" w16cid:durableId="157884652">
    <w:abstractNumId w:val="36"/>
  </w:num>
  <w:num w:numId="39" w16cid:durableId="952174671">
    <w:abstractNumId w:val="3"/>
  </w:num>
  <w:num w:numId="40" w16cid:durableId="1817144479">
    <w:abstractNumId w:val="44"/>
  </w:num>
  <w:num w:numId="41" w16cid:durableId="51779326">
    <w:abstractNumId w:val="28"/>
  </w:num>
  <w:num w:numId="42" w16cid:durableId="162356785">
    <w:abstractNumId w:val="26"/>
  </w:num>
  <w:num w:numId="43" w16cid:durableId="1894350186">
    <w:abstractNumId w:val="46"/>
  </w:num>
  <w:num w:numId="44" w16cid:durableId="828404214">
    <w:abstractNumId w:val="25"/>
  </w:num>
  <w:num w:numId="45" w16cid:durableId="1666546741">
    <w:abstractNumId w:val="19"/>
  </w:num>
  <w:num w:numId="46" w16cid:durableId="101414109">
    <w:abstractNumId w:val="11"/>
  </w:num>
  <w:num w:numId="47" w16cid:durableId="1070152012">
    <w:abstractNumId w:val="10"/>
  </w:num>
  <w:num w:numId="48" w16cid:durableId="1922370302">
    <w:abstractNumId w:val="41"/>
  </w:num>
  <w:num w:numId="49" w16cid:durableId="1411271930">
    <w:abstractNumId w:val="2"/>
  </w:num>
  <w:num w:numId="50" w16cid:durableId="1340504632">
    <w:abstractNumId w:val="45"/>
  </w:num>
  <w:num w:numId="51" w16cid:durableId="1985036475">
    <w:abstractNumId w:val="15"/>
  </w:num>
  <w:num w:numId="52" w16cid:durableId="572273718">
    <w:abstractNumId w:val="31"/>
  </w:num>
  <w:num w:numId="53" w16cid:durableId="701439180">
    <w:abstractNumId w:val="22"/>
  </w:num>
  <w:num w:numId="54" w16cid:durableId="1520583480">
    <w:abstractNumId w:val="23"/>
  </w:num>
  <w:num w:numId="55" w16cid:durableId="225143523">
    <w:abstractNumId w:val="33"/>
  </w:num>
  <w:num w:numId="56" w16cid:durableId="151066278">
    <w:abstractNumId w:val="33"/>
  </w:num>
  <w:num w:numId="57" w16cid:durableId="713431488">
    <w:abstractNumId w:val="42"/>
  </w:num>
  <w:num w:numId="58" w16cid:durableId="1491943250">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906"/>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3B"/>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1B0"/>
    <w:rsid w:val="000933D1"/>
    <w:rsid w:val="000937D1"/>
    <w:rsid w:val="00093B6F"/>
    <w:rsid w:val="00093D2E"/>
    <w:rsid w:val="000940CF"/>
    <w:rsid w:val="00094F98"/>
    <w:rsid w:val="000956F2"/>
    <w:rsid w:val="00095C76"/>
    <w:rsid w:val="00095D02"/>
    <w:rsid w:val="00095EA5"/>
    <w:rsid w:val="00096039"/>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672"/>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451"/>
    <w:rsid w:val="000C7602"/>
    <w:rsid w:val="000C7656"/>
    <w:rsid w:val="000C79D8"/>
    <w:rsid w:val="000D00F8"/>
    <w:rsid w:val="000D0590"/>
    <w:rsid w:val="000D09C9"/>
    <w:rsid w:val="000D0BFE"/>
    <w:rsid w:val="000D10AD"/>
    <w:rsid w:val="000D1360"/>
    <w:rsid w:val="000D1417"/>
    <w:rsid w:val="000D1626"/>
    <w:rsid w:val="000D16B5"/>
    <w:rsid w:val="000D18F5"/>
    <w:rsid w:val="000D2211"/>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0D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266C"/>
    <w:rsid w:val="001526BE"/>
    <w:rsid w:val="0015333F"/>
    <w:rsid w:val="00153FE5"/>
    <w:rsid w:val="0015419B"/>
    <w:rsid w:val="001549C6"/>
    <w:rsid w:val="001549CE"/>
    <w:rsid w:val="00154E20"/>
    <w:rsid w:val="00154F60"/>
    <w:rsid w:val="00155565"/>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250"/>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7B6"/>
    <w:rsid w:val="001A6A2B"/>
    <w:rsid w:val="001A6BAF"/>
    <w:rsid w:val="001A7307"/>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765"/>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BA1"/>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AAF"/>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0E04"/>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3012"/>
    <w:rsid w:val="00243E36"/>
    <w:rsid w:val="00243F03"/>
    <w:rsid w:val="002441B2"/>
    <w:rsid w:val="00244724"/>
    <w:rsid w:val="00244753"/>
    <w:rsid w:val="00244CDD"/>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634"/>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4F5"/>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67F"/>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6C1"/>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4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0B0"/>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282"/>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68B9"/>
    <w:rsid w:val="00356C0B"/>
    <w:rsid w:val="00356D66"/>
    <w:rsid w:val="00356DAE"/>
    <w:rsid w:val="00357079"/>
    <w:rsid w:val="00357321"/>
    <w:rsid w:val="003574A4"/>
    <w:rsid w:val="00357635"/>
    <w:rsid w:val="00357A63"/>
    <w:rsid w:val="00357A6D"/>
    <w:rsid w:val="00357D77"/>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871"/>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105"/>
    <w:rsid w:val="003874C3"/>
    <w:rsid w:val="00387E61"/>
    <w:rsid w:val="003904DC"/>
    <w:rsid w:val="0039058C"/>
    <w:rsid w:val="00390598"/>
    <w:rsid w:val="003907EA"/>
    <w:rsid w:val="00390B63"/>
    <w:rsid w:val="00390B9A"/>
    <w:rsid w:val="00390BD2"/>
    <w:rsid w:val="0039128A"/>
    <w:rsid w:val="003912FD"/>
    <w:rsid w:val="003914B2"/>
    <w:rsid w:val="00391B9E"/>
    <w:rsid w:val="00391CB9"/>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6FF8"/>
    <w:rsid w:val="003E71AA"/>
    <w:rsid w:val="003E75A6"/>
    <w:rsid w:val="003E77D8"/>
    <w:rsid w:val="003E7ADF"/>
    <w:rsid w:val="003E7B6B"/>
    <w:rsid w:val="003E7BFB"/>
    <w:rsid w:val="003E7D0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2C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1AB"/>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2FB"/>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F4A"/>
    <w:rsid w:val="00486201"/>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53C"/>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37D"/>
    <w:rsid w:val="004A5936"/>
    <w:rsid w:val="004A5E59"/>
    <w:rsid w:val="004A5FAC"/>
    <w:rsid w:val="004A65D7"/>
    <w:rsid w:val="004A673A"/>
    <w:rsid w:val="004A6A02"/>
    <w:rsid w:val="004A6A07"/>
    <w:rsid w:val="004A6CF9"/>
    <w:rsid w:val="004A70CC"/>
    <w:rsid w:val="004A73C4"/>
    <w:rsid w:val="004A778D"/>
    <w:rsid w:val="004B022B"/>
    <w:rsid w:val="004B07B6"/>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0E1B"/>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9DA"/>
    <w:rsid w:val="00544B49"/>
    <w:rsid w:val="00544BB3"/>
    <w:rsid w:val="00544C74"/>
    <w:rsid w:val="005450C7"/>
    <w:rsid w:val="00545137"/>
    <w:rsid w:val="00545259"/>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4D74"/>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6C4"/>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0E"/>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299"/>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0DE4"/>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66D"/>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431"/>
    <w:rsid w:val="00660D4A"/>
    <w:rsid w:val="00660D4B"/>
    <w:rsid w:val="00661593"/>
    <w:rsid w:val="006618E2"/>
    <w:rsid w:val="00661E11"/>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6CD"/>
    <w:rsid w:val="0068375D"/>
    <w:rsid w:val="006838EC"/>
    <w:rsid w:val="00683A2B"/>
    <w:rsid w:val="00683C7C"/>
    <w:rsid w:val="00683CE8"/>
    <w:rsid w:val="00684DA0"/>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3EB1"/>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B1B"/>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3E8"/>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6FA6"/>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3232"/>
    <w:rsid w:val="00743535"/>
    <w:rsid w:val="007435BD"/>
    <w:rsid w:val="0074368D"/>
    <w:rsid w:val="00743D5D"/>
    <w:rsid w:val="007443B2"/>
    <w:rsid w:val="00744773"/>
    <w:rsid w:val="007447A8"/>
    <w:rsid w:val="00744F3D"/>
    <w:rsid w:val="00744FA0"/>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5E0"/>
    <w:rsid w:val="00761CF4"/>
    <w:rsid w:val="00761D2E"/>
    <w:rsid w:val="00761D98"/>
    <w:rsid w:val="007621DD"/>
    <w:rsid w:val="0076239D"/>
    <w:rsid w:val="007626A8"/>
    <w:rsid w:val="007629E6"/>
    <w:rsid w:val="00762A8A"/>
    <w:rsid w:val="00762A93"/>
    <w:rsid w:val="00763893"/>
    <w:rsid w:val="0076435D"/>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589"/>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0C1"/>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5F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2"/>
    <w:rsid w:val="007E2FEB"/>
    <w:rsid w:val="007E3359"/>
    <w:rsid w:val="007E3687"/>
    <w:rsid w:val="007E37A2"/>
    <w:rsid w:val="007E37EC"/>
    <w:rsid w:val="007E3958"/>
    <w:rsid w:val="007E3FC9"/>
    <w:rsid w:val="007E4523"/>
    <w:rsid w:val="007E46BA"/>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CFB"/>
    <w:rsid w:val="007F4104"/>
    <w:rsid w:val="007F4363"/>
    <w:rsid w:val="007F471F"/>
    <w:rsid w:val="007F50F9"/>
    <w:rsid w:val="007F5147"/>
    <w:rsid w:val="007F5331"/>
    <w:rsid w:val="007F53A2"/>
    <w:rsid w:val="007F56EA"/>
    <w:rsid w:val="007F5869"/>
    <w:rsid w:val="007F5B74"/>
    <w:rsid w:val="007F63BE"/>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12E"/>
    <w:rsid w:val="008224BB"/>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E"/>
    <w:rsid w:val="0085034F"/>
    <w:rsid w:val="00850417"/>
    <w:rsid w:val="008505B3"/>
    <w:rsid w:val="008506D8"/>
    <w:rsid w:val="008507E1"/>
    <w:rsid w:val="0085082B"/>
    <w:rsid w:val="00850BFF"/>
    <w:rsid w:val="00850CB3"/>
    <w:rsid w:val="00850F6F"/>
    <w:rsid w:val="0085186E"/>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19D"/>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4C6"/>
    <w:rsid w:val="008A258F"/>
    <w:rsid w:val="008A2744"/>
    <w:rsid w:val="008A2871"/>
    <w:rsid w:val="008A288C"/>
    <w:rsid w:val="008A2922"/>
    <w:rsid w:val="008A2C7A"/>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346"/>
    <w:rsid w:val="008B0402"/>
    <w:rsid w:val="008B0A3D"/>
    <w:rsid w:val="008B0D77"/>
    <w:rsid w:val="008B0F4C"/>
    <w:rsid w:val="008B118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3FDE"/>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8BE"/>
    <w:rsid w:val="00913A89"/>
    <w:rsid w:val="00914449"/>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D5B"/>
    <w:rsid w:val="00920FEB"/>
    <w:rsid w:val="0092101E"/>
    <w:rsid w:val="0092124D"/>
    <w:rsid w:val="00921296"/>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6C2"/>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AB"/>
    <w:rsid w:val="009C0EE4"/>
    <w:rsid w:val="009C1A38"/>
    <w:rsid w:val="009C25BE"/>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202"/>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43"/>
    <w:rsid w:val="00A21EA1"/>
    <w:rsid w:val="00A22856"/>
    <w:rsid w:val="00A22BFD"/>
    <w:rsid w:val="00A230F1"/>
    <w:rsid w:val="00A23312"/>
    <w:rsid w:val="00A233A6"/>
    <w:rsid w:val="00A2374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6B00"/>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5BD"/>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4EC1"/>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563"/>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8CC"/>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6A98"/>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8F"/>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6FC6"/>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099F"/>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99C"/>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5F53"/>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2E02"/>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109"/>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5A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0B"/>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60C4"/>
    <w:rsid w:val="00C660E8"/>
    <w:rsid w:val="00C660FE"/>
    <w:rsid w:val="00C6658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1176"/>
    <w:rsid w:val="00C8128E"/>
    <w:rsid w:val="00C813BA"/>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7E8"/>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97B"/>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1B1"/>
    <w:rsid w:val="00DA22B8"/>
    <w:rsid w:val="00DA236C"/>
    <w:rsid w:val="00DA2631"/>
    <w:rsid w:val="00DA2D06"/>
    <w:rsid w:val="00DA2EA2"/>
    <w:rsid w:val="00DA301B"/>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9E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2A5"/>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B49"/>
    <w:rsid w:val="00E00BB0"/>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8E0"/>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1A0"/>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0B4"/>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95B"/>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96D"/>
    <w:rsid w:val="00EB3BE1"/>
    <w:rsid w:val="00EB3FC3"/>
    <w:rsid w:val="00EB41BC"/>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B74"/>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60B"/>
    <w:rsid w:val="00F0274E"/>
    <w:rsid w:val="00F02916"/>
    <w:rsid w:val="00F02BF0"/>
    <w:rsid w:val="00F02FF9"/>
    <w:rsid w:val="00F0312F"/>
    <w:rsid w:val="00F038B2"/>
    <w:rsid w:val="00F03B15"/>
    <w:rsid w:val="00F03BA5"/>
    <w:rsid w:val="00F03EC8"/>
    <w:rsid w:val="00F0409B"/>
    <w:rsid w:val="00F053A0"/>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25A"/>
    <w:rsid w:val="00F118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3798A"/>
    <w:rsid w:val="00F400BC"/>
    <w:rsid w:val="00F400C2"/>
    <w:rsid w:val="00F400DD"/>
    <w:rsid w:val="00F4011A"/>
    <w:rsid w:val="00F40499"/>
    <w:rsid w:val="00F409DC"/>
    <w:rsid w:val="00F40C54"/>
    <w:rsid w:val="00F4135D"/>
    <w:rsid w:val="00F4178B"/>
    <w:rsid w:val="00F41F00"/>
    <w:rsid w:val="00F41F97"/>
    <w:rsid w:val="00F4234E"/>
    <w:rsid w:val="00F42467"/>
    <w:rsid w:val="00F42491"/>
    <w:rsid w:val="00F42D2F"/>
    <w:rsid w:val="00F434A2"/>
    <w:rsid w:val="00F43814"/>
    <w:rsid w:val="00F43851"/>
    <w:rsid w:val="00F438CF"/>
    <w:rsid w:val="00F43F7A"/>
    <w:rsid w:val="00F440F7"/>
    <w:rsid w:val="00F4429F"/>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9A6"/>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2FBD"/>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1FD3"/>
    <w:rsid w:val="00FA20CD"/>
    <w:rsid w:val="00FA2459"/>
    <w:rsid w:val="00FA2A6F"/>
    <w:rsid w:val="00FA2CF8"/>
    <w:rsid w:val="00FA3F29"/>
    <w:rsid w:val="00FA4348"/>
    <w:rsid w:val="00FA5012"/>
    <w:rsid w:val="00FA5141"/>
    <w:rsid w:val="00FA55DC"/>
    <w:rsid w:val="00FA5984"/>
    <w:rsid w:val="00FA5A2D"/>
    <w:rsid w:val="00FA62B2"/>
    <w:rsid w:val="00FA6499"/>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91"/>
    <w:rsid w:val="00FE7E8E"/>
    <w:rsid w:val="00FF0073"/>
    <w:rsid w:val="00FF010A"/>
    <w:rsid w:val="00FF03CA"/>
    <w:rsid w:val="00FF0563"/>
    <w:rsid w:val="00FF0626"/>
    <w:rsid w:val="00FF0668"/>
    <w:rsid w:val="00FF0C7D"/>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5053"/>
    <w:rsid w:val="00FF5609"/>
    <w:rsid w:val="00FF6064"/>
    <w:rsid w:val="00FF6133"/>
    <w:rsid w:val="00FF6290"/>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F415487-60D0-40C5-87CB-3A2AB84A6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14</cp:revision>
  <cp:lastPrinted>2007-12-21T04:58:00Z</cp:lastPrinted>
  <dcterms:created xsi:type="dcterms:W3CDTF">2022-09-29T03:39:00Z</dcterms:created>
  <dcterms:modified xsi:type="dcterms:W3CDTF">2022-09-30T06:17:00Z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